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350206"/>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350206"/>
                    </a:xfrm>
                    <a:prstGeom prst="rect"/>
                  </pic:spPr>
                </pic:pic>
              </a:graphicData>
            </a:graphic>
          </wp:inline>
        </w:drawing>
      </w:r>
    </w:p>
    <w:p>
      <w:pPr>
        <w:pStyle w:val="Title"/>
      </w:pPr>
      <w:r>
        <w:rPr>
          <w:rFonts w:ascii="Aptos" w:hAnsi="Aptos"/>
          <w:color w:val="1A2E3B"/>
        </w:rPr>
        <w:t>Global Equity Fund</w:t>
      </w:r>
    </w:p>
    <w:p>
      <w:r>
        <w:rPr>
          <w:rFonts w:ascii="Aptos" w:hAnsi="Aptos"/>
          <w:color w:val="2E6B5E"/>
          <w:sz w:val="22"/>
        </w:rPr>
        <w:t>Super Amazing Fund Management  |  Month ended 31 August 2026</w:t>
      </w:r>
    </w:p>
    <w:p>
      <w:r>
        <w:rPr>
          <w:rFonts w:ascii="Aptos" w:hAnsi="Aptos"/>
          <w:i/>
          <w:sz w:val="20"/>
        </w:rPr>
        <w:t>Benchmark: MSCI World Index (NZD, unhedged)</w:t>
      </w:r>
    </w:p>
    <w:p>
      <w:r>
        <w:rPr>
          <w:rFonts w:ascii="Aptos" w:hAnsi="Aptos"/>
          <w:b/>
          <w:color w:val="1A2E3B"/>
          <w:sz w:val="19"/>
        </w:rPr>
        <w:t>About this report</w:t>
      </w:r>
    </w:p>
    <w:p>
      <w:pPr>
        <w:pStyle w:val="ListBullet"/>
        <w:ind w:left="454"/>
      </w:pPr>
      <w:r>
        <w:rPr>
          <w:rFonts w:ascii="Aptos" w:hAnsi="Aptos"/>
          <w:color w:val="6B541B"/>
          <w:sz w:val="19"/>
        </w:rPr>
        <w:t>The figures in this report are fixed placeholder data and do not vary by period. Changing the reporting dates changes what the report says it covers, not the numbers in it.</w:t>
      </w:r>
    </w:p>
    <w:p>
      <w:pPr>
        <w:pStyle w:val="ListBullet"/>
        <w:ind w:left="454"/>
      </w:pPr>
      <w:r>
        <w:rPr>
          <w:rFonts w:ascii="Aptos" w:hAnsi="Aptos"/>
          <w:color w:val="6B541B"/>
          <w:sz w:val="19"/>
        </w:rPr>
        <w:t>Written for: Savvy wholesale investors.</w:t>
      </w:r>
    </w:p>
    <w:p>
      <w:pPr>
        <w:pStyle w:val="ListBullet"/>
        <w:ind w:left="454"/>
      </w:pPr>
      <w:r>
        <w:rPr>
          <w:rFonts w:ascii="Aptos" w:hAnsi="Aptos"/>
          <w:color w:val="6B541B"/>
          <w:sz w:val="19"/>
        </w:rPr>
        <w:t>Market reactions were drafted by an AI model, which searched NZX, ASX, Disclose Register, NZ Companies Office, Financial Markets Authority, Reserve Bank of New Zealand, Stats NZ, NZ Treasury, Bloomberg, BusinessDesk, National Business Review, interest.co.nz, US SEC EDGAR, US Federal Reserve, European Central Bank for Microsoft, ASML Holding, Novo Nordisk. Every resulting statement is labelled and footnoted to the source it came from.</w:t>
      </w:r>
    </w:p>
    <w:p>
      <w:pPr>
        <w:pStyle w:val="ListBullet"/>
        <w:ind w:left="454"/>
      </w:pPr>
      <w:r>
        <w:rPr>
          <w:rFonts w:ascii="Aptos" w:hAnsi="Aptos"/>
          <w:color w:val="6B541B"/>
          <w:sz w:val="19"/>
        </w:rPr>
        <w:t>Market commentary, attribution commentary and outlook were drafted by an AI model from the fund's own figures and current market reporting. Every resulting statement is labelled and footnoted to the source it came from.</w:t>
      </w:r>
    </w:p>
    <w:p/>
    <w:p>
      <w:pPr>
        <w:pStyle w:val="Heading1"/>
      </w:pPr>
      <w:r>
        <w:rPr>
          <w:rFonts w:ascii="Aptos" w:hAnsi="Aptos"/>
          <w:color w:val="1A2E3B"/>
        </w:rPr>
        <w:t>Fund returns</w:t>
      </w:r>
    </w:p>
    <w:p>
      <w:r>
        <w:drawing>
          <wp:inline xmlns:a="http://schemas.openxmlformats.org/drawingml/2006/main" xmlns:pic="http://schemas.openxmlformats.org/drawingml/2006/picture">
            <wp:extent cx="5760000" cy="21942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760000" cy="2194286"/>
                    </a:xfrm>
                    <a:prstGeom prst="rect"/>
                  </pic:spPr>
                </pic:pic>
              </a:graphicData>
            </a:graphic>
          </wp:inline>
        </w:drawing>
      </w:r>
    </w:p>
    <w:tbl>
      <w:tblGrid>
        <w:gridCol w:w="2551"/>
        <w:gridCol w:w="1701"/>
        <w:gridCol w:w="1984"/>
        <w:gridCol w:w="1701"/>
      </w:tblGrid>
      <w:tblPr>
        <w:tblW w:type="auto" w:w="0"/>
        <w:jc w:val="left"/>
        <w:tblLayout w:type="fixed"/>
        <w:tblLook w:firstColumn="1" w:firstRow="1" w:lastColumn="0" w:lastRow="0" w:noHBand="0" w:noVBand="1" w:val="04A0"/>
      </w:tblPr>
      <w:tr>
        <w:tc>
          <w:tcPr>
            <w:tcW w:type="dxa" w:w="2551"/>
            <w:shd w:val="clear" w:color="auto" w:fill="E8EEEC"/>
          </w:tcPr>
          <w:p>
            <w:pPr>
              <w:jc w:val="left"/>
            </w:pPr>
            <w:r>
              <w:rPr>
                <w:rFonts w:ascii="Aptos" w:hAnsi="Aptos"/>
                <w:b/>
                <w:color w:val="1A2E3B"/>
                <w:sz w:val="20"/>
              </w:rPr>
              <w:t>Period</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Excess (%)</w:t>
            </w:r>
          </w:p>
        </w:tc>
      </w:tr>
      <w:tr>
        <w:tc>
          <w:tcPr>
            <w:tcW w:type="dxa" w:w="2551"/>
          </w:tcPr>
          <w:p>
            <w:r>
              <w:rPr>
                <w:rFonts w:ascii="Aptos" w:hAnsi="Aptos"/>
                <w:sz w:val="20"/>
              </w:rPr>
              <w:t>1 Month</w:t>
            </w:r>
          </w:p>
        </w:tc>
        <w:tc>
          <w:tcPr>
            <w:tcW w:type="dxa" w:w="1701"/>
          </w:tcPr>
          <w:p>
            <w:r>
              <w:rPr>
                <w:rFonts w:ascii="Aptos" w:hAnsi="Aptos"/>
                <w:sz w:val="20"/>
              </w:rPr>
              <w:t>+1.14</w:t>
            </w:r>
          </w:p>
        </w:tc>
        <w:tc>
          <w:tcPr>
            <w:tcW w:type="dxa" w:w="1984"/>
          </w:tcPr>
          <w:p>
            <w:r>
              <w:rPr>
                <w:rFonts w:ascii="Aptos" w:hAnsi="Aptos"/>
                <w:sz w:val="20"/>
              </w:rPr>
              <w:t>+2.58</w:t>
            </w:r>
          </w:p>
        </w:tc>
        <w:tc>
          <w:tcPr>
            <w:tcW w:type="dxa" w:w="1701"/>
          </w:tcPr>
          <w:p>
            <w:r>
              <w:rPr>
                <w:rFonts w:ascii="Aptos" w:hAnsi="Aptos"/>
                <w:sz w:val="20"/>
              </w:rPr>
              <w:t>-1.44</w:t>
            </w:r>
          </w:p>
        </w:tc>
      </w:tr>
      <w:tr>
        <w:tc>
          <w:tcPr>
            <w:tcW w:type="dxa" w:w="2551"/>
          </w:tcPr>
          <w:p>
            <w:r>
              <w:rPr>
                <w:rFonts w:ascii="Aptos" w:hAnsi="Aptos"/>
                <w:sz w:val="20"/>
              </w:rPr>
              <w:t>3 Months</w:t>
            </w:r>
          </w:p>
        </w:tc>
        <w:tc>
          <w:tcPr>
            <w:tcW w:type="dxa" w:w="1701"/>
          </w:tcPr>
          <w:p>
            <w:r>
              <w:rPr>
                <w:rFonts w:ascii="Aptos" w:hAnsi="Aptos"/>
                <w:sz w:val="20"/>
              </w:rPr>
              <w:t>+4.60</w:t>
            </w:r>
          </w:p>
        </w:tc>
        <w:tc>
          <w:tcPr>
            <w:tcW w:type="dxa" w:w="1984"/>
          </w:tcPr>
          <w:p>
            <w:r>
              <w:rPr>
                <w:rFonts w:ascii="Aptos" w:hAnsi="Aptos"/>
                <w:sz w:val="20"/>
              </w:rPr>
              <w:t>+4.90</w:t>
            </w:r>
          </w:p>
        </w:tc>
        <w:tc>
          <w:tcPr>
            <w:tcW w:type="dxa" w:w="1701"/>
          </w:tcPr>
          <w:p>
            <w:r>
              <w:rPr>
                <w:rFonts w:ascii="Aptos" w:hAnsi="Aptos"/>
                <w:sz w:val="20"/>
              </w:rPr>
              <w:t>-0.30</w:t>
            </w:r>
          </w:p>
        </w:tc>
      </w:tr>
      <w:tr>
        <w:tc>
          <w:tcPr>
            <w:tcW w:type="dxa" w:w="2551"/>
          </w:tcPr>
          <w:p>
            <w:r>
              <w:rPr>
                <w:rFonts w:ascii="Aptos" w:hAnsi="Aptos"/>
                <w:sz w:val="20"/>
              </w:rPr>
              <w:t>1 Year</w:t>
            </w:r>
          </w:p>
        </w:tc>
        <w:tc>
          <w:tcPr>
            <w:tcW w:type="dxa" w:w="1701"/>
          </w:tcPr>
          <w:p>
            <w:r>
              <w:rPr>
                <w:rFonts w:ascii="Aptos" w:hAnsi="Aptos"/>
                <w:sz w:val="20"/>
              </w:rPr>
              <w:t>+14.20</w:t>
            </w:r>
          </w:p>
        </w:tc>
        <w:tc>
          <w:tcPr>
            <w:tcW w:type="dxa" w:w="1984"/>
          </w:tcPr>
          <w:p>
            <w:r>
              <w:rPr>
                <w:rFonts w:ascii="Aptos" w:hAnsi="Aptos"/>
                <w:sz w:val="20"/>
              </w:rPr>
              <w:t>+12.70</w:t>
            </w:r>
          </w:p>
        </w:tc>
        <w:tc>
          <w:tcPr>
            <w:tcW w:type="dxa" w:w="1701"/>
          </w:tcPr>
          <w:p>
            <w:r>
              <w:rPr>
                <w:rFonts w:ascii="Aptos" w:hAnsi="Aptos"/>
                <w:sz w:val="20"/>
              </w:rPr>
              <w:t>+1.50</w:t>
            </w:r>
          </w:p>
        </w:tc>
      </w:tr>
      <w:tr>
        <w:tc>
          <w:tcPr>
            <w:tcW w:type="dxa" w:w="2551"/>
          </w:tcPr>
          <w:p>
            <w:r>
              <w:rPr>
                <w:rFonts w:ascii="Aptos" w:hAnsi="Aptos"/>
                <w:sz w:val="20"/>
              </w:rPr>
              <w:t>Since Inception</w:t>
            </w:r>
          </w:p>
        </w:tc>
        <w:tc>
          <w:tcPr>
            <w:tcW w:type="dxa" w:w="1701"/>
          </w:tcPr>
          <w:p>
            <w:r>
              <w:rPr>
                <w:rFonts w:ascii="Aptos" w:hAnsi="Aptos"/>
                <w:sz w:val="20"/>
              </w:rPr>
              <w:t>+9.80</w:t>
            </w:r>
          </w:p>
        </w:tc>
        <w:tc>
          <w:tcPr>
            <w:tcW w:type="dxa" w:w="1984"/>
          </w:tcPr>
          <w:p>
            <w:r>
              <w:rPr>
                <w:rFonts w:ascii="Aptos" w:hAnsi="Aptos"/>
                <w:sz w:val="20"/>
              </w:rPr>
              <w:t>+8.90</w:t>
            </w:r>
          </w:p>
        </w:tc>
        <w:tc>
          <w:tcPr>
            <w:tcW w:type="dxa" w:w="1701"/>
          </w:tcPr>
          <w:p>
            <w:r>
              <w:rPr>
                <w:rFonts w:ascii="Aptos" w:hAnsi="Aptos"/>
                <w:sz w:val="20"/>
              </w:rPr>
              <w:t>+0.90</w:t>
            </w:r>
          </w:p>
        </w:tc>
      </w:tr>
    </w:tbl>
    <w:p/>
    <w:p>
      <w:pPr>
        <w:pStyle w:val="Heading1"/>
      </w:pPr>
      <w:r>
        <w:rPr>
          <w:rFonts w:ascii="Aptos" w:hAnsi="Aptos"/>
          <w:color w:val="1A2E3B"/>
        </w:rPr>
        <w:t>Attribution</w:t>
      </w:r>
    </w:p>
    <w:p>
      <w:r>
        <w:t>Total attribution effect for the period: -1.43%</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Utilities</w:t>
            </w:r>
          </w:p>
        </w:tc>
        <w:tc>
          <w:tcPr>
            <w:tcW w:type="dxa" w:w="1984"/>
          </w:tcPr>
          <w:p>
            <w:r>
              <w:rPr>
                <w:rFonts w:ascii="Aptos" w:hAnsi="Aptos"/>
                <w:sz w:val="20"/>
              </w:rPr>
              <w:t>+0.15</w:t>
            </w:r>
          </w:p>
        </w:tc>
        <w:tc>
          <w:tcPr>
            <w:tcW w:type="dxa" w:w="1701"/>
          </w:tcPr>
          <w:p>
            <w:r>
              <w:rPr>
                <w:rFonts w:ascii="Aptos" w:hAnsi="Aptos"/>
                <w:sz w:val="20"/>
              </w:rPr>
              <w:t>+0.00</w:t>
            </w:r>
          </w:p>
        </w:tc>
        <w:tc>
          <w:tcPr>
            <w:tcW w:type="dxa" w:w="1984"/>
          </w:tcPr>
          <w:p>
            <w:r>
              <w:rPr>
                <w:rFonts w:ascii="Aptos" w:hAnsi="Aptos"/>
                <w:sz w:val="20"/>
              </w:rPr>
              <w:t>+0.15</w:t>
            </w:r>
          </w:p>
        </w:tc>
      </w:tr>
      <w:tr>
        <w:tc>
          <w:tcPr>
            <w:tcW w:type="dxa" w:w="3118"/>
          </w:tcPr>
          <w:p>
            <w:r>
              <w:rPr>
                <w:rFonts w:ascii="Aptos" w:hAnsi="Aptos"/>
                <w:sz w:val="20"/>
              </w:rPr>
              <w:t>Financials</w:t>
            </w:r>
          </w:p>
        </w:tc>
        <w:tc>
          <w:tcPr>
            <w:tcW w:type="dxa" w:w="1984"/>
          </w:tcPr>
          <w:p>
            <w:r>
              <w:rPr>
                <w:rFonts w:ascii="Aptos" w:hAnsi="Aptos"/>
                <w:sz w:val="20"/>
              </w:rPr>
              <w:t>-0.14</w:t>
            </w:r>
          </w:p>
        </w:tc>
        <w:tc>
          <w:tcPr>
            <w:tcW w:type="dxa" w:w="1701"/>
          </w:tcPr>
          <w:p>
            <w:r>
              <w:rPr>
                <w:rFonts w:ascii="Aptos" w:hAnsi="Aptos"/>
                <w:sz w:val="20"/>
              </w:rPr>
              <w:t>+0.24</w:t>
            </w:r>
          </w:p>
        </w:tc>
        <w:tc>
          <w:tcPr>
            <w:tcW w:type="dxa" w:w="1984"/>
          </w:tcPr>
          <w:p>
            <w:r>
              <w:rPr>
                <w:rFonts w:ascii="Aptos" w:hAnsi="Aptos"/>
                <w:sz w:val="20"/>
              </w:rPr>
              <w:t>+0.09</w:t>
            </w:r>
          </w:p>
        </w:tc>
      </w:tr>
      <w:tr>
        <w:tc>
          <w:tcPr>
            <w:tcW w:type="dxa" w:w="3118"/>
          </w:tcPr>
          <w:p>
            <w:r>
              <w:rPr>
                <w:rFonts w:ascii="Aptos" w:hAnsi="Aptos"/>
                <w:sz w:val="20"/>
              </w:rPr>
              <w:t>Real Estate</w:t>
            </w:r>
          </w:p>
        </w:tc>
        <w:tc>
          <w:tcPr>
            <w:tcW w:type="dxa" w:w="1984"/>
          </w:tcPr>
          <w:p>
            <w:r>
              <w:rPr>
                <w:rFonts w:ascii="Aptos" w:hAnsi="Aptos"/>
                <w:sz w:val="20"/>
              </w:rPr>
              <w:t>+0.08</w:t>
            </w:r>
          </w:p>
        </w:tc>
        <w:tc>
          <w:tcPr>
            <w:tcW w:type="dxa" w:w="1701"/>
          </w:tcPr>
          <w:p>
            <w:r>
              <w:rPr>
                <w:rFonts w:ascii="Aptos" w:hAnsi="Aptos"/>
                <w:sz w:val="20"/>
              </w:rPr>
              <w:t>+0.00</w:t>
            </w:r>
          </w:p>
        </w:tc>
        <w:tc>
          <w:tcPr>
            <w:tcW w:type="dxa" w:w="1984"/>
          </w:tcPr>
          <w:p>
            <w:r>
              <w:rPr>
                <w:rFonts w:ascii="Aptos" w:hAnsi="Aptos"/>
                <w:sz w:val="20"/>
              </w:rPr>
              <w:t>+0.08</w:t>
            </w:r>
          </w:p>
        </w:tc>
      </w:tr>
      <w:tr>
        <w:tc>
          <w:tcPr>
            <w:tcW w:type="dxa" w:w="3118"/>
          </w:tcPr>
          <w:p>
            <w:r>
              <w:rPr>
                <w:rFonts w:ascii="Aptos" w:hAnsi="Aptos"/>
                <w:sz w:val="20"/>
              </w:rPr>
              <w:t>Health Care</w:t>
            </w:r>
          </w:p>
        </w:tc>
        <w:tc>
          <w:tcPr>
            <w:tcW w:type="dxa" w:w="1984"/>
          </w:tcPr>
          <w:p>
            <w:r>
              <w:rPr>
                <w:rFonts w:ascii="Aptos" w:hAnsi="Aptos"/>
                <w:sz w:val="20"/>
              </w:rPr>
              <w:t>+0.06</w:t>
            </w:r>
          </w:p>
        </w:tc>
        <w:tc>
          <w:tcPr>
            <w:tcW w:type="dxa" w:w="1701"/>
          </w:tcPr>
          <w:p>
            <w:r>
              <w:rPr>
                <w:rFonts w:ascii="Aptos" w:hAnsi="Aptos"/>
                <w:sz w:val="20"/>
              </w:rPr>
              <w:t>+0.02</w:t>
            </w:r>
          </w:p>
        </w:tc>
        <w:tc>
          <w:tcPr>
            <w:tcW w:type="dxa" w:w="1984"/>
          </w:tcPr>
          <w:p>
            <w:r>
              <w:rPr>
                <w:rFonts w:ascii="Aptos" w:hAnsi="Aptos"/>
                <w:sz w:val="20"/>
              </w:rPr>
              <w:t>+0.07</w:t>
            </w:r>
          </w:p>
        </w:tc>
      </w:tr>
      <w:tr>
        <w:tc>
          <w:tcPr>
            <w:tcW w:type="dxa" w:w="3118"/>
          </w:tcPr>
          <w:p>
            <w:r>
              <w:rPr>
                <w:rFonts w:ascii="Aptos" w:hAnsi="Aptos"/>
                <w:sz w:val="20"/>
              </w:rPr>
              <w:t>Materials</w:t>
            </w:r>
          </w:p>
        </w:tc>
        <w:tc>
          <w:tcPr>
            <w:tcW w:type="dxa" w:w="1984"/>
          </w:tcPr>
          <w:p>
            <w:r>
              <w:rPr>
                <w:rFonts w:ascii="Aptos" w:hAnsi="Aptos"/>
                <w:sz w:val="20"/>
              </w:rPr>
              <w:t>-0.00</w:t>
            </w:r>
          </w:p>
        </w:tc>
        <w:tc>
          <w:tcPr>
            <w:tcW w:type="dxa" w:w="1701"/>
          </w:tcPr>
          <w:p>
            <w:r>
              <w:rPr>
                <w:rFonts w:ascii="Aptos" w:hAnsi="Aptos"/>
                <w:sz w:val="20"/>
              </w:rPr>
              <w:t>+0.05</w:t>
            </w:r>
          </w:p>
        </w:tc>
        <w:tc>
          <w:tcPr>
            <w:tcW w:type="dxa" w:w="1984"/>
          </w:tcPr>
          <w:p>
            <w:r>
              <w:rPr>
                <w:rFonts w:ascii="Aptos" w:hAnsi="Aptos"/>
                <w:sz w:val="20"/>
              </w:rPr>
              <w:t>+0.05</w:t>
            </w:r>
          </w:p>
        </w:tc>
      </w:tr>
      <w:tr>
        <w:tc>
          <w:tcPr>
            <w:tcW w:type="dxa" w:w="3118"/>
          </w:tcPr>
          <w:p>
            <w:r>
              <w:rPr>
                <w:rFonts w:ascii="Aptos" w:hAnsi="Aptos"/>
                <w:sz w:val="20"/>
              </w:rPr>
              <w:t>Cash</w:t>
            </w:r>
          </w:p>
        </w:tc>
        <w:tc>
          <w:tcPr>
            <w:tcW w:type="dxa" w:w="1984"/>
          </w:tcPr>
          <w:p>
            <w:r>
              <w:rPr>
                <w:rFonts w:ascii="Aptos" w:hAnsi="Aptos"/>
                <w:sz w:val="20"/>
              </w:rPr>
              <w:t>-0.01</w:t>
            </w:r>
          </w:p>
        </w:tc>
        <w:tc>
          <w:tcPr>
            <w:tcW w:type="dxa" w:w="1701"/>
          </w:tcPr>
          <w:p>
            <w:r>
              <w:rPr>
                <w:rFonts w:ascii="Aptos" w:hAnsi="Aptos"/>
                <w:sz w:val="20"/>
              </w:rPr>
              <w:t>+0.00</w:t>
            </w:r>
          </w:p>
        </w:tc>
        <w:tc>
          <w:tcPr>
            <w:tcW w:type="dxa" w:w="1984"/>
          </w:tcPr>
          <w:p>
            <w:r>
              <w:rPr>
                <w:rFonts w:ascii="Aptos" w:hAnsi="Aptos"/>
                <w:sz w:val="20"/>
              </w:rPr>
              <w:t>-0.01</w:t>
            </w:r>
          </w:p>
        </w:tc>
      </w:tr>
      <w:tr>
        <w:tc>
          <w:tcPr>
            <w:tcW w:type="dxa" w:w="3118"/>
          </w:tcPr>
          <w:p>
            <w:r>
              <w:rPr>
                <w:rFonts w:ascii="Aptos" w:hAnsi="Aptos"/>
                <w:sz w:val="20"/>
              </w:rPr>
              <w:t>Consumer Staples</w:t>
            </w:r>
          </w:p>
        </w:tc>
        <w:tc>
          <w:tcPr>
            <w:tcW w:type="dxa" w:w="1984"/>
          </w:tcPr>
          <w:p>
            <w:r>
              <w:rPr>
                <w:rFonts w:ascii="Aptos" w:hAnsi="Aptos"/>
                <w:sz w:val="20"/>
              </w:rPr>
              <w:t>+0.05</w:t>
            </w:r>
          </w:p>
        </w:tc>
        <w:tc>
          <w:tcPr>
            <w:tcW w:type="dxa" w:w="1701"/>
          </w:tcPr>
          <w:p>
            <w:r>
              <w:rPr>
                <w:rFonts w:ascii="Aptos" w:hAnsi="Aptos"/>
                <w:sz w:val="20"/>
              </w:rPr>
              <w:t>-0.08</w:t>
            </w:r>
          </w:p>
        </w:tc>
        <w:tc>
          <w:tcPr>
            <w:tcW w:type="dxa" w:w="1984"/>
          </w:tcPr>
          <w:p>
            <w:r>
              <w:rPr>
                <w:rFonts w:ascii="Aptos" w:hAnsi="Aptos"/>
                <w:sz w:val="20"/>
              </w:rPr>
              <w:t>-0.04</w:t>
            </w:r>
          </w:p>
        </w:tc>
      </w:tr>
      <w:tr>
        <w:tc>
          <w:tcPr>
            <w:tcW w:type="dxa" w:w="3118"/>
          </w:tcPr>
          <w:p>
            <w:r>
              <w:rPr>
                <w:rFonts w:ascii="Aptos" w:hAnsi="Aptos"/>
                <w:sz w:val="20"/>
              </w:rPr>
              <w:t>Communication Services</w:t>
            </w:r>
          </w:p>
        </w:tc>
        <w:tc>
          <w:tcPr>
            <w:tcW w:type="dxa" w:w="1984"/>
          </w:tcPr>
          <w:p>
            <w:r>
              <w:rPr>
                <w:rFonts w:ascii="Aptos" w:hAnsi="Aptos"/>
                <w:sz w:val="20"/>
              </w:rPr>
              <w:t>+0.08</w:t>
            </w:r>
          </w:p>
        </w:tc>
        <w:tc>
          <w:tcPr>
            <w:tcW w:type="dxa" w:w="1701"/>
          </w:tcPr>
          <w:p>
            <w:r>
              <w:rPr>
                <w:rFonts w:ascii="Aptos" w:hAnsi="Aptos"/>
                <w:sz w:val="20"/>
              </w:rPr>
              <w:t>-0.12</w:t>
            </w:r>
          </w:p>
        </w:tc>
        <w:tc>
          <w:tcPr>
            <w:tcW w:type="dxa" w:w="1984"/>
          </w:tcPr>
          <w:p>
            <w:r>
              <w:rPr>
                <w:rFonts w:ascii="Aptos" w:hAnsi="Aptos"/>
                <w:sz w:val="20"/>
              </w:rPr>
              <w:t>-0.04</w:t>
            </w:r>
          </w:p>
        </w:tc>
      </w:tr>
      <w:tr>
        <w:tc>
          <w:tcPr>
            <w:tcW w:type="dxa" w:w="3118"/>
          </w:tcPr>
          <w:p>
            <w:r>
              <w:rPr>
                <w:rFonts w:ascii="Aptos" w:hAnsi="Aptos"/>
                <w:sz w:val="20"/>
              </w:rPr>
              <w:t>Energy</w:t>
            </w:r>
          </w:p>
        </w:tc>
        <w:tc>
          <w:tcPr>
            <w:tcW w:type="dxa" w:w="1984"/>
          </w:tcPr>
          <w:p>
            <w:r>
              <w:rPr>
                <w:rFonts w:ascii="Aptos" w:hAnsi="Aptos"/>
                <w:sz w:val="20"/>
              </w:rPr>
              <w:t>+0.02</w:t>
            </w:r>
          </w:p>
        </w:tc>
        <w:tc>
          <w:tcPr>
            <w:tcW w:type="dxa" w:w="1701"/>
          </w:tcPr>
          <w:p>
            <w:r>
              <w:rPr>
                <w:rFonts w:ascii="Aptos" w:hAnsi="Aptos"/>
                <w:sz w:val="20"/>
              </w:rPr>
              <w:t>-0.11</w:t>
            </w:r>
          </w:p>
        </w:tc>
        <w:tc>
          <w:tcPr>
            <w:tcW w:type="dxa" w:w="1984"/>
          </w:tcPr>
          <w:p>
            <w:r>
              <w:rPr>
                <w:rFonts w:ascii="Aptos" w:hAnsi="Aptos"/>
                <w:sz w:val="20"/>
              </w:rPr>
              <w:t>-0.09</w:t>
            </w:r>
          </w:p>
        </w:tc>
      </w:tr>
      <w:tr>
        <w:tc>
          <w:tcPr>
            <w:tcW w:type="dxa" w:w="3118"/>
          </w:tcPr>
          <w:p>
            <w:r>
              <w:rPr>
                <w:rFonts w:ascii="Aptos" w:hAnsi="Aptos"/>
                <w:sz w:val="20"/>
              </w:rPr>
              <w:t>Consumer Discretionary</w:t>
            </w:r>
          </w:p>
        </w:tc>
        <w:tc>
          <w:tcPr>
            <w:tcW w:type="dxa" w:w="1984"/>
          </w:tcPr>
          <w:p>
            <w:r>
              <w:rPr>
                <w:rFonts w:ascii="Aptos" w:hAnsi="Aptos"/>
                <w:sz w:val="20"/>
              </w:rPr>
              <w:t>+0.05</w:t>
            </w:r>
          </w:p>
        </w:tc>
        <w:tc>
          <w:tcPr>
            <w:tcW w:type="dxa" w:w="1701"/>
          </w:tcPr>
          <w:p>
            <w:r>
              <w:rPr>
                <w:rFonts w:ascii="Aptos" w:hAnsi="Aptos"/>
                <w:sz w:val="20"/>
              </w:rPr>
              <w:t>-0.33</w:t>
            </w:r>
          </w:p>
        </w:tc>
        <w:tc>
          <w:tcPr>
            <w:tcW w:type="dxa" w:w="1984"/>
          </w:tcPr>
          <w:p>
            <w:r>
              <w:rPr>
                <w:rFonts w:ascii="Aptos" w:hAnsi="Aptos"/>
                <w:sz w:val="20"/>
              </w:rPr>
              <w:t>-0.28</w:t>
            </w:r>
          </w:p>
        </w:tc>
      </w:tr>
      <w:tr>
        <w:tc>
          <w:tcPr>
            <w:tcW w:type="dxa" w:w="3118"/>
          </w:tcPr>
          <w:p>
            <w:r>
              <w:rPr>
                <w:rFonts w:ascii="Aptos" w:hAnsi="Aptos"/>
                <w:sz w:val="20"/>
              </w:rPr>
              <w:t>Industrials</w:t>
            </w:r>
          </w:p>
        </w:tc>
        <w:tc>
          <w:tcPr>
            <w:tcW w:type="dxa" w:w="1984"/>
          </w:tcPr>
          <w:p>
            <w:r>
              <w:rPr>
                <w:rFonts w:ascii="Aptos" w:hAnsi="Aptos"/>
                <w:sz w:val="20"/>
              </w:rPr>
              <w:t>-0.15</w:t>
            </w:r>
          </w:p>
        </w:tc>
        <w:tc>
          <w:tcPr>
            <w:tcW w:type="dxa" w:w="1701"/>
          </w:tcPr>
          <w:p>
            <w:r>
              <w:rPr>
                <w:rFonts w:ascii="Aptos" w:hAnsi="Aptos"/>
                <w:sz w:val="20"/>
              </w:rPr>
              <w:t>-0.44</w:t>
            </w:r>
          </w:p>
        </w:tc>
        <w:tc>
          <w:tcPr>
            <w:tcW w:type="dxa" w:w="1984"/>
          </w:tcPr>
          <w:p>
            <w:r>
              <w:rPr>
                <w:rFonts w:ascii="Aptos" w:hAnsi="Aptos"/>
                <w:sz w:val="20"/>
              </w:rPr>
              <w:t>-0.58</w:t>
            </w:r>
          </w:p>
        </w:tc>
      </w:tr>
      <w:tr>
        <w:tc>
          <w:tcPr>
            <w:tcW w:type="dxa" w:w="3118"/>
          </w:tcPr>
          <w:p>
            <w:r>
              <w:rPr>
                <w:rFonts w:ascii="Aptos" w:hAnsi="Aptos"/>
                <w:sz w:val="20"/>
              </w:rPr>
              <w:t>Information Technology</w:t>
            </w:r>
          </w:p>
        </w:tc>
        <w:tc>
          <w:tcPr>
            <w:tcW w:type="dxa" w:w="1984"/>
          </w:tcPr>
          <w:p>
            <w:r>
              <w:rPr>
                <w:rFonts w:ascii="Aptos" w:hAnsi="Aptos"/>
                <w:sz w:val="20"/>
              </w:rPr>
              <w:t>-0.18</w:t>
            </w:r>
          </w:p>
        </w:tc>
        <w:tc>
          <w:tcPr>
            <w:tcW w:type="dxa" w:w="1701"/>
          </w:tcPr>
          <w:p>
            <w:r>
              <w:rPr>
                <w:rFonts w:ascii="Aptos" w:hAnsi="Aptos"/>
                <w:sz w:val="20"/>
              </w:rPr>
              <w:t>-0.65</w:t>
            </w:r>
          </w:p>
        </w:tc>
        <w:tc>
          <w:tcPr>
            <w:tcW w:type="dxa" w:w="1984"/>
          </w:tcPr>
          <w:p>
            <w:r>
              <w:rPr>
                <w:rFonts w:ascii="Aptos" w:hAnsi="Aptos"/>
                <w:sz w:val="20"/>
              </w:rPr>
              <w:t>-0.83</w:t>
            </w:r>
          </w:p>
        </w:tc>
      </w:tr>
    </w:tbl>
    <w:p/>
    <w:p>
      <w:pPr>
        <w:pStyle w:val="Heading1"/>
      </w:pPr>
      <w:r>
        <w:rPr>
          <w:rFonts w:ascii="Aptos" w:hAnsi="Aptos"/>
          <w:color w:val="1A2E3B"/>
        </w:rPr>
        <w:t>Positioning</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Utilities</w:t>
            </w:r>
          </w:p>
        </w:tc>
        <w:tc>
          <w:tcPr>
            <w:tcW w:type="dxa" w:w="1701"/>
          </w:tcPr>
          <w:p>
            <w:r>
              <w:rPr>
                <w:rFonts w:ascii="Aptos" w:hAnsi="Aptos"/>
                <w:sz w:val="20"/>
              </w:rPr>
              <w:t>0.0</w:t>
            </w:r>
          </w:p>
        </w:tc>
        <w:tc>
          <w:tcPr>
            <w:tcW w:type="dxa" w:w="1984"/>
          </w:tcPr>
          <w:p>
            <w:r>
              <w:rPr>
                <w:rFonts w:ascii="Aptos" w:hAnsi="Aptos"/>
                <w:sz w:val="20"/>
              </w:rPr>
              <w:t>2.5</w:t>
            </w:r>
          </w:p>
        </w:tc>
        <w:tc>
          <w:tcPr>
            <w:tcW w:type="dxa" w:w="1701"/>
          </w:tcPr>
          <w:p>
            <w:r>
              <w:rPr>
                <w:rFonts w:ascii="Aptos" w:hAnsi="Aptos"/>
                <w:sz w:val="20"/>
              </w:rPr>
              <w:t>-2.5</w:t>
            </w:r>
          </w:p>
        </w:tc>
      </w:tr>
      <w:tr>
        <w:tc>
          <w:tcPr>
            <w:tcW w:type="dxa" w:w="3118"/>
          </w:tcPr>
          <w:p>
            <w:r>
              <w:rPr>
                <w:rFonts w:ascii="Aptos" w:hAnsi="Aptos"/>
                <w:sz w:val="20"/>
              </w:rPr>
              <w:t>Financials</w:t>
            </w:r>
          </w:p>
        </w:tc>
        <w:tc>
          <w:tcPr>
            <w:tcW w:type="dxa" w:w="1701"/>
          </w:tcPr>
          <w:p>
            <w:r>
              <w:rPr>
                <w:rFonts w:ascii="Aptos" w:hAnsi="Aptos"/>
                <w:sz w:val="20"/>
              </w:rPr>
              <w:t>24.8</w:t>
            </w:r>
          </w:p>
        </w:tc>
        <w:tc>
          <w:tcPr>
            <w:tcW w:type="dxa" w:w="1984"/>
          </w:tcPr>
          <w:p>
            <w:r>
              <w:rPr>
                <w:rFonts w:ascii="Aptos" w:hAnsi="Aptos"/>
                <w:sz w:val="20"/>
              </w:rPr>
              <w:t>16.6</w:t>
            </w:r>
          </w:p>
        </w:tc>
        <w:tc>
          <w:tcPr>
            <w:tcW w:type="dxa" w:w="1701"/>
          </w:tcPr>
          <w:p>
            <w:r>
              <w:rPr>
                <w:rFonts w:ascii="Aptos" w:hAnsi="Aptos"/>
                <w:sz w:val="20"/>
              </w:rPr>
              <w:t>+8.3</w:t>
            </w:r>
          </w:p>
        </w:tc>
      </w:tr>
      <w:tr>
        <w:tc>
          <w:tcPr>
            <w:tcW w:type="dxa" w:w="3118"/>
          </w:tcPr>
          <w:p>
            <w:r>
              <w:rPr>
                <w:rFonts w:ascii="Aptos" w:hAnsi="Aptos"/>
                <w:sz w:val="20"/>
              </w:rPr>
              <w:t>Real Estate</w:t>
            </w:r>
          </w:p>
        </w:tc>
        <w:tc>
          <w:tcPr>
            <w:tcW w:type="dxa" w:w="1701"/>
          </w:tcPr>
          <w:p>
            <w:r>
              <w:rPr>
                <w:rFonts w:ascii="Aptos" w:hAnsi="Aptos"/>
                <w:sz w:val="20"/>
              </w:rPr>
              <w:t>0.0</w:t>
            </w:r>
          </w:p>
        </w:tc>
        <w:tc>
          <w:tcPr>
            <w:tcW w:type="dxa" w:w="1984"/>
          </w:tcPr>
          <w:p>
            <w:r>
              <w:rPr>
                <w:rFonts w:ascii="Aptos" w:hAnsi="Aptos"/>
                <w:sz w:val="20"/>
              </w:rPr>
              <w:t>1.7</w:t>
            </w:r>
          </w:p>
        </w:tc>
        <w:tc>
          <w:tcPr>
            <w:tcW w:type="dxa" w:w="1701"/>
          </w:tcPr>
          <w:p>
            <w:r>
              <w:rPr>
                <w:rFonts w:ascii="Aptos" w:hAnsi="Aptos"/>
                <w:sz w:val="20"/>
              </w:rPr>
              <w:t>-1.7</w:t>
            </w:r>
          </w:p>
        </w:tc>
      </w:tr>
      <w:tr>
        <w:tc>
          <w:tcPr>
            <w:tcW w:type="dxa" w:w="3118"/>
          </w:tcPr>
          <w:p>
            <w:r>
              <w:rPr>
                <w:rFonts w:ascii="Aptos" w:hAnsi="Aptos"/>
                <w:sz w:val="20"/>
              </w:rPr>
              <w:t>Health Care</w:t>
            </w:r>
          </w:p>
        </w:tc>
        <w:tc>
          <w:tcPr>
            <w:tcW w:type="dxa" w:w="1701"/>
          </w:tcPr>
          <w:p>
            <w:r>
              <w:rPr>
                <w:rFonts w:ascii="Aptos" w:hAnsi="Aptos"/>
                <w:sz w:val="20"/>
              </w:rPr>
              <w:t>10.5</w:t>
            </w:r>
          </w:p>
        </w:tc>
        <w:tc>
          <w:tcPr>
            <w:tcW w:type="dxa" w:w="1984"/>
          </w:tcPr>
          <w:p>
            <w:r>
              <w:rPr>
                <w:rFonts w:ascii="Aptos" w:hAnsi="Aptos"/>
                <w:sz w:val="20"/>
              </w:rPr>
              <w:t>9.2</w:t>
            </w:r>
          </w:p>
        </w:tc>
        <w:tc>
          <w:tcPr>
            <w:tcW w:type="dxa" w:w="1701"/>
          </w:tcPr>
          <w:p>
            <w:r>
              <w:rPr>
                <w:rFonts w:ascii="Aptos" w:hAnsi="Aptos"/>
                <w:sz w:val="20"/>
              </w:rPr>
              <w:t>+1.3</w:t>
            </w:r>
          </w:p>
        </w:tc>
      </w:tr>
      <w:tr>
        <w:tc>
          <w:tcPr>
            <w:tcW w:type="dxa" w:w="3118"/>
          </w:tcPr>
          <w:p>
            <w:r>
              <w:rPr>
                <w:rFonts w:ascii="Aptos" w:hAnsi="Aptos"/>
                <w:sz w:val="20"/>
              </w:rPr>
              <w:t>Materials</w:t>
            </w:r>
          </w:p>
        </w:tc>
        <w:tc>
          <w:tcPr>
            <w:tcW w:type="dxa" w:w="1701"/>
          </w:tcPr>
          <w:p>
            <w:r>
              <w:rPr>
                <w:rFonts w:ascii="Aptos" w:hAnsi="Aptos"/>
                <w:sz w:val="20"/>
              </w:rPr>
              <w:t>3.2</w:t>
            </w:r>
          </w:p>
        </w:tc>
        <w:tc>
          <w:tcPr>
            <w:tcW w:type="dxa" w:w="1984"/>
          </w:tcPr>
          <w:p>
            <w:r>
              <w:rPr>
                <w:rFonts w:ascii="Aptos" w:hAnsi="Aptos"/>
                <w:sz w:val="20"/>
              </w:rPr>
              <w:t>3.4</w:t>
            </w:r>
          </w:p>
        </w:tc>
        <w:tc>
          <w:tcPr>
            <w:tcW w:type="dxa" w:w="1701"/>
          </w:tcPr>
          <w:p>
            <w:r>
              <w:rPr>
                <w:rFonts w:ascii="Aptos" w:hAnsi="Aptos"/>
                <w:sz w:val="20"/>
              </w:rPr>
              <w:t>-0.2</w:t>
            </w:r>
          </w:p>
        </w:tc>
      </w:tr>
      <w:tr>
        <w:tc>
          <w:tcPr>
            <w:tcW w:type="dxa" w:w="3118"/>
          </w:tcPr>
          <w:p>
            <w:r>
              <w:rPr>
                <w:rFonts w:ascii="Aptos" w:hAnsi="Aptos"/>
                <w:sz w:val="20"/>
              </w:rPr>
              <w:t>Cash</w:t>
            </w:r>
          </w:p>
        </w:tc>
        <w:tc>
          <w:tcPr>
            <w:tcW w:type="dxa" w:w="1701"/>
          </w:tcPr>
          <w:p>
            <w:r>
              <w:rPr>
                <w:rFonts w:ascii="Aptos" w:hAnsi="Aptos"/>
                <w:sz w:val="20"/>
              </w:rPr>
              <w:t>0.7</w:t>
            </w:r>
          </w:p>
        </w:tc>
        <w:tc>
          <w:tcPr>
            <w:tcW w:type="dxa" w:w="1984"/>
          </w:tcPr>
          <w:p>
            <w:r>
              <w:rPr>
                <w:rFonts w:ascii="Aptos" w:hAnsi="Aptos"/>
                <w:sz w:val="20"/>
              </w:rPr>
              <w:t>0.0</w:t>
            </w:r>
          </w:p>
        </w:tc>
        <w:tc>
          <w:tcPr>
            <w:tcW w:type="dxa" w:w="1701"/>
          </w:tcPr>
          <w:p>
            <w:r>
              <w:rPr>
                <w:rFonts w:ascii="Aptos" w:hAnsi="Aptos"/>
                <w:sz w:val="20"/>
              </w:rPr>
              <w:t>+0.7</w:t>
            </w:r>
          </w:p>
        </w:tc>
      </w:tr>
      <w:tr>
        <w:tc>
          <w:tcPr>
            <w:tcW w:type="dxa" w:w="3118"/>
          </w:tcPr>
          <w:p>
            <w:r>
              <w:rPr>
                <w:rFonts w:ascii="Aptos" w:hAnsi="Aptos"/>
                <w:sz w:val="20"/>
              </w:rPr>
              <w:t>Consumer Staples</w:t>
            </w:r>
          </w:p>
        </w:tc>
        <w:tc>
          <w:tcPr>
            <w:tcW w:type="dxa" w:w="1701"/>
          </w:tcPr>
          <w:p>
            <w:r>
              <w:rPr>
                <w:rFonts w:ascii="Aptos" w:hAnsi="Aptos"/>
                <w:sz w:val="20"/>
              </w:rPr>
              <w:t>3.7</w:t>
            </w:r>
          </w:p>
        </w:tc>
        <w:tc>
          <w:tcPr>
            <w:tcW w:type="dxa" w:w="1984"/>
          </w:tcPr>
          <w:p>
            <w:r>
              <w:rPr>
                <w:rFonts w:ascii="Aptos" w:hAnsi="Aptos"/>
                <w:sz w:val="20"/>
              </w:rPr>
              <w:t>5.0</w:t>
            </w:r>
          </w:p>
        </w:tc>
        <w:tc>
          <w:tcPr>
            <w:tcW w:type="dxa" w:w="1701"/>
          </w:tcPr>
          <w:p>
            <w:r>
              <w:rPr>
                <w:rFonts w:ascii="Aptos" w:hAnsi="Aptos"/>
                <w:sz w:val="20"/>
              </w:rPr>
              <w:t>-1.3</w:t>
            </w:r>
          </w:p>
        </w:tc>
      </w:tr>
      <w:tr>
        <w:tc>
          <w:tcPr>
            <w:tcW w:type="dxa" w:w="3118"/>
          </w:tcPr>
          <w:p>
            <w:r>
              <w:rPr>
                <w:rFonts w:ascii="Aptos" w:hAnsi="Aptos"/>
                <w:sz w:val="20"/>
              </w:rPr>
              <w:t>Communication Services</w:t>
            </w:r>
          </w:p>
        </w:tc>
        <w:tc>
          <w:tcPr>
            <w:tcW w:type="dxa" w:w="1701"/>
          </w:tcPr>
          <w:p>
            <w:r>
              <w:rPr>
                <w:rFonts w:ascii="Aptos" w:hAnsi="Aptos"/>
                <w:sz w:val="20"/>
              </w:rPr>
              <w:t>4.5</w:t>
            </w:r>
          </w:p>
        </w:tc>
        <w:tc>
          <w:tcPr>
            <w:tcW w:type="dxa" w:w="1984"/>
          </w:tcPr>
          <w:p>
            <w:r>
              <w:rPr>
                <w:rFonts w:ascii="Aptos" w:hAnsi="Aptos"/>
                <w:sz w:val="20"/>
              </w:rPr>
              <w:t>8.0</w:t>
            </w:r>
          </w:p>
        </w:tc>
        <w:tc>
          <w:tcPr>
            <w:tcW w:type="dxa" w:w="1701"/>
          </w:tcPr>
          <w:p>
            <w:r>
              <w:rPr>
                <w:rFonts w:ascii="Aptos" w:hAnsi="Aptos"/>
                <w:sz w:val="20"/>
              </w:rPr>
              <w:t>-3.5</w:t>
            </w:r>
          </w:p>
        </w:tc>
      </w:tr>
      <w:tr>
        <w:tc>
          <w:tcPr>
            <w:tcW w:type="dxa" w:w="3118"/>
          </w:tcPr>
          <w:p>
            <w:r>
              <w:rPr>
                <w:rFonts w:ascii="Aptos" w:hAnsi="Aptos"/>
                <w:sz w:val="20"/>
              </w:rPr>
              <w:t>Energy</w:t>
            </w:r>
          </w:p>
        </w:tc>
        <w:tc>
          <w:tcPr>
            <w:tcW w:type="dxa" w:w="1701"/>
          </w:tcPr>
          <w:p>
            <w:r>
              <w:rPr>
                <w:rFonts w:ascii="Aptos" w:hAnsi="Aptos"/>
                <w:sz w:val="20"/>
              </w:rPr>
              <w:t>5.2</w:t>
            </w:r>
          </w:p>
        </w:tc>
        <w:tc>
          <w:tcPr>
            <w:tcW w:type="dxa" w:w="1984"/>
          </w:tcPr>
          <w:p>
            <w:r>
              <w:rPr>
                <w:rFonts w:ascii="Aptos" w:hAnsi="Aptos"/>
                <w:sz w:val="20"/>
              </w:rPr>
              <w:t>4.0</w:t>
            </w:r>
          </w:p>
        </w:tc>
        <w:tc>
          <w:tcPr>
            <w:tcW w:type="dxa" w:w="1701"/>
          </w:tcPr>
          <w:p>
            <w:r>
              <w:rPr>
                <w:rFonts w:ascii="Aptos" w:hAnsi="Aptos"/>
                <w:sz w:val="20"/>
              </w:rPr>
              <w:t>+1.2</w:t>
            </w:r>
          </w:p>
        </w:tc>
      </w:tr>
      <w:tr>
        <w:tc>
          <w:tcPr>
            <w:tcW w:type="dxa" w:w="3118"/>
          </w:tcPr>
          <w:p>
            <w:r>
              <w:rPr>
                <w:rFonts w:ascii="Aptos" w:hAnsi="Aptos"/>
                <w:sz w:val="20"/>
              </w:rPr>
              <w:t>Consumer Discretionary</w:t>
            </w:r>
          </w:p>
        </w:tc>
        <w:tc>
          <w:tcPr>
            <w:tcW w:type="dxa" w:w="1701"/>
          </w:tcPr>
          <w:p>
            <w:r>
              <w:rPr>
                <w:rFonts w:ascii="Aptos" w:hAnsi="Aptos"/>
                <w:sz w:val="20"/>
              </w:rPr>
              <w:t>7.1</w:t>
            </w:r>
          </w:p>
        </w:tc>
        <w:tc>
          <w:tcPr>
            <w:tcW w:type="dxa" w:w="1984"/>
          </w:tcPr>
          <w:p>
            <w:r>
              <w:rPr>
                <w:rFonts w:ascii="Aptos" w:hAnsi="Aptos"/>
                <w:sz w:val="20"/>
              </w:rPr>
              <w:t>8.9</w:t>
            </w:r>
          </w:p>
        </w:tc>
        <w:tc>
          <w:tcPr>
            <w:tcW w:type="dxa" w:w="1701"/>
          </w:tcPr>
          <w:p>
            <w:r>
              <w:rPr>
                <w:rFonts w:ascii="Aptos" w:hAnsi="Aptos"/>
                <w:sz w:val="20"/>
              </w:rPr>
              <w:t>-1.8</w:t>
            </w:r>
          </w:p>
        </w:tc>
      </w:tr>
      <w:tr>
        <w:tc>
          <w:tcPr>
            <w:tcW w:type="dxa" w:w="3118"/>
          </w:tcPr>
          <w:p>
            <w:r>
              <w:rPr>
                <w:rFonts w:ascii="Aptos" w:hAnsi="Aptos"/>
                <w:sz w:val="20"/>
              </w:rPr>
              <w:t>Industrials</w:t>
            </w:r>
          </w:p>
        </w:tc>
        <w:tc>
          <w:tcPr>
            <w:tcW w:type="dxa" w:w="1701"/>
          </w:tcPr>
          <w:p>
            <w:r>
              <w:rPr>
                <w:rFonts w:ascii="Aptos" w:hAnsi="Aptos"/>
                <w:sz w:val="20"/>
              </w:rPr>
              <w:t>16.0</w:t>
            </w:r>
          </w:p>
        </w:tc>
        <w:tc>
          <w:tcPr>
            <w:tcW w:type="dxa" w:w="1984"/>
          </w:tcPr>
          <w:p>
            <w:r>
              <w:rPr>
                <w:rFonts w:ascii="Aptos" w:hAnsi="Aptos"/>
                <w:sz w:val="20"/>
              </w:rPr>
              <w:t>11.4</w:t>
            </w:r>
          </w:p>
        </w:tc>
        <w:tc>
          <w:tcPr>
            <w:tcW w:type="dxa" w:w="1701"/>
          </w:tcPr>
          <w:p>
            <w:r>
              <w:rPr>
                <w:rFonts w:ascii="Aptos" w:hAnsi="Aptos"/>
                <w:sz w:val="20"/>
              </w:rPr>
              <w:t>+4.5</w:t>
            </w:r>
          </w:p>
        </w:tc>
      </w:tr>
      <w:tr>
        <w:tc>
          <w:tcPr>
            <w:tcW w:type="dxa" w:w="3118"/>
          </w:tcPr>
          <w:p>
            <w:r>
              <w:rPr>
                <w:rFonts w:ascii="Aptos" w:hAnsi="Aptos"/>
                <w:sz w:val="20"/>
              </w:rPr>
              <w:t>Information Technology</w:t>
            </w:r>
          </w:p>
        </w:tc>
        <w:tc>
          <w:tcPr>
            <w:tcW w:type="dxa" w:w="1701"/>
          </w:tcPr>
          <w:p>
            <w:r>
              <w:rPr>
                <w:rFonts w:ascii="Aptos" w:hAnsi="Aptos"/>
                <w:sz w:val="20"/>
              </w:rPr>
              <w:t>24.4</w:t>
            </w:r>
          </w:p>
        </w:tc>
        <w:tc>
          <w:tcPr>
            <w:tcW w:type="dxa" w:w="1984"/>
          </w:tcPr>
          <w:p>
            <w:r>
              <w:rPr>
                <w:rFonts w:ascii="Aptos" w:hAnsi="Aptos"/>
                <w:sz w:val="20"/>
              </w:rPr>
              <w:t>29.5</w:t>
            </w:r>
          </w:p>
        </w:tc>
        <w:tc>
          <w:tcPr>
            <w:tcW w:type="dxa" w:w="1701"/>
          </w:tcPr>
          <w:p>
            <w:r>
              <w:rPr>
                <w:rFonts w:ascii="Aptos" w:hAnsi="Aptos"/>
                <w:sz w:val="20"/>
              </w:rPr>
              <w:t>-5.1</w:t>
            </w:r>
          </w:p>
        </w:tc>
      </w:tr>
    </w:tbl>
    <w:p/>
    <w:p>
      <w:pPr>
        <w:pStyle w:val="Heading1"/>
      </w:pPr>
      <w:r>
        <w:rPr>
          <w:rFonts w:ascii="Aptos" w:hAnsi="Aptos"/>
          <w:color w:val="1A2E3B"/>
        </w:rPr>
        <w:t>Attribution by country</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Country</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United States</w:t>
            </w:r>
          </w:p>
        </w:tc>
        <w:tc>
          <w:tcPr>
            <w:tcW w:type="dxa" w:w="1984"/>
          </w:tcPr>
          <w:p>
            <w:r>
              <w:rPr>
                <w:rFonts w:ascii="Aptos" w:hAnsi="Aptos"/>
                <w:sz w:val="20"/>
              </w:rPr>
              <w:t>-0.02</w:t>
            </w:r>
          </w:p>
        </w:tc>
        <w:tc>
          <w:tcPr>
            <w:tcW w:type="dxa" w:w="1701"/>
          </w:tcPr>
          <w:p>
            <w:r>
              <w:rPr>
                <w:rFonts w:ascii="Aptos" w:hAnsi="Aptos"/>
                <w:sz w:val="20"/>
              </w:rPr>
              <w:t>-1.12</w:t>
            </w:r>
          </w:p>
        </w:tc>
        <w:tc>
          <w:tcPr>
            <w:tcW w:type="dxa" w:w="1984"/>
          </w:tcPr>
          <w:p>
            <w:r>
              <w:rPr>
                <w:rFonts w:ascii="Aptos" w:hAnsi="Aptos"/>
                <w:sz w:val="20"/>
              </w:rPr>
              <w:t>-1.14</w:t>
            </w:r>
          </w:p>
        </w:tc>
      </w:tr>
      <w:tr>
        <w:tc>
          <w:tcPr>
            <w:tcW w:type="dxa" w:w="3118"/>
          </w:tcPr>
          <w:p>
            <w:r>
              <w:rPr>
                <w:rFonts w:ascii="Aptos" w:hAnsi="Aptos"/>
                <w:sz w:val="20"/>
              </w:rPr>
              <w:t>Japan</w:t>
            </w:r>
          </w:p>
        </w:tc>
        <w:tc>
          <w:tcPr>
            <w:tcW w:type="dxa" w:w="1984"/>
          </w:tcPr>
          <w:p>
            <w:r>
              <w:rPr>
                <w:rFonts w:ascii="Aptos" w:hAnsi="Aptos"/>
                <w:sz w:val="20"/>
              </w:rPr>
              <w:t>+0.02</w:t>
            </w:r>
          </w:p>
        </w:tc>
        <w:tc>
          <w:tcPr>
            <w:tcW w:type="dxa" w:w="1701"/>
          </w:tcPr>
          <w:p>
            <w:r>
              <w:rPr>
                <w:rFonts w:ascii="Aptos" w:hAnsi="Aptos"/>
                <w:sz w:val="20"/>
              </w:rPr>
              <w:t>-0.58</w:t>
            </w:r>
          </w:p>
        </w:tc>
        <w:tc>
          <w:tcPr>
            <w:tcW w:type="dxa" w:w="1984"/>
          </w:tcPr>
          <w:p>
            <w:r>
              <w:rPr>
                <w:rFonts w:ascii="Aptos" w:hAnsi="Aptos"/>
                <w:sz w:val="20"/>
              </w:rPr>
              <w:t>-0.56</w:t>
            </w:r>
          </w:p>
        </w:tc>
      </w:tr>
      <w:tr>
        <w:tc>
          <w:tcPr>
            <w:tcW w:type="dxa" w:w="3118"/>
          </w:tcPr>
          <w:p>
            <w:r>
              <w:rPr>
                <w:rFonts w:ascii="Aptos" w:hAnsi="Aptos"/>
                <w:sz w:val="20"/>
              </w:rPr>
              <w:t>Australia</w:t>
            </w:r>
          </w:p>
        </w:tc>
        <w:tc>
          <w:tcPr>
            <w:tcW w:type="dxa" w:w="1984"/>
          </w:tcPr>
          <w:p>
            <w:r>
              <w:rPr>
                <w:rFonts w:ascii="Aptos" w:hAnsi="Aptos"/>
                <w:sz w:val="20"/>
              </w:rPr>
              <w:t>+0.02</w:t>
            </w:r>
          </w:p>
        </w:tc>
        <w:tc>
          <w:tcPr>
            <w:tcW w:type="dxa" w:w="1701"/>
          </w:tcPr>
          <w:p>
            <w:r>
              <w:rPr>
                <w:rFonts w:ascii="Aptos" w:hAnsi="Aptos"/>
                <w:sz w:val="20"/>
              </w:rPr>
              <w:t>+0.25</w:t>
            </w:r>
          </w:p>
        </w:tc>
        <w:tc>
          <w:tcPr>
            <w:tcW w:type="dxa" w:w="1984"/>
          </w:tcPr>
          <w:p>
            <w:r>
              <w:rPr>
                <w:rFonts w:ascii="Aptos" w:hAnsi="Aptos"/>
                <w:sz w:val="20"/>
              </w:rPr>
              <w:t>+0.26</w:t>
            </w:r>
          </w:p>
        </w:tc>
      </w:tr>
      <w:tr>
        <w:tc>
          <w:tcPr>
            <w:tcW w:type="dxa" w:w="3118"/>
          </w:tcPr>
          <w:p>
            <w:r>
              <w:rPr>
                <w:rFonts w:ascii="Aptos" w:hAnsi="Aptos"/>
                <w:sz w:val="20"/>
              </w:rPr>
              <w:t>Germany</w:t>
            </w:r>
          </w:p>
        </w:tc>
        <w:tc>
          <w:tcPr>
            <w:tcW w:type="dxa" w:w="1984"/>
          </w:tcPr>
          <w:p>
            <w:r>
              <w:rPr>
                <w:rFonts w:ascii="Aptos" w:hAnsi="Aptos"/>
                <w:sz w:val="20"/>
              </w:rPr>
              <w:t>+0.02</w:t>
            </w:r>
          </w:p>
        </w:tc>
        <w:tc>
          <w:tcPr>
            <w:tcW w:type="dxa" w:w="1701"/>
          </w:tcPr>
          <w:p>
            <w:r>
              <w:rPr>
                <w:rFonts w:ascii="Aptos" w:hAnsi="Aptos"/>
                <w:sz w:val="20"/>
              </w:rPr>
              <w:t>+0.11</w:t>
            </w:r>
          </w:p>
        </w:tc>
        <w:tc>
          <w:tcPr>
            <w:tcW w:type="dxa" w:w="1984"/>
          </w:tcPr>
          <w:p>
            <w:r>
              <w:rPr>
                <w:rFonts w:ascii="Aptos" w:hAnsi="Aptos"/>
                <w:sz w:val="20"/>
              </w:rPr>
              <w:t>+0.13</w:t>
            </w:r>
          </w:p>
        </w:tc>
      </w:tr>
      <w:tr>
        <w:tc>
          <w:tcPr>
            <w:tcW w:type="dxa" w:w="3118"/>
          </w:tcPr>
          <w:p>
            <w:r>
              <w:rPr>
                <w:rFonts w:ascii="Aptos" w:hAnsi="Aptos"/>
                <w:sz w:val="20"/>
              </w:rPr>
              <w:t>Canada</w:t>
            </w:r>
          </w:p>
        </w:tc>
        <w:tc>
          <w:tcPr>
            <w:tcW w:type="dxa" w:w="1984"/>
          </w:tcPr>
          <w:p>
            <w:r>
              <w:rPr>
                <w:rFonts w:ascii="Aptos" w:hAnsi="Aptos"/>
                <w:sz w:val="20"/>
              </w:rPr>
              <w:t>+0.02</w:t>
            </w:r>
          </w:p>
        </w:tc>
        <w:tc>
          <w:tcPr>
            <w:tcW w:type="dxa" w:w="1701"/>
          </w:tcPr>
          <w:p>
            <w:r>
              <w:rPr>
                <w:rFonts w:ascii="Aptos" w:hAnsi="Aptos"/>
                <w:sz w:val="20"/>
              </w:rPr>
              <w:t>-0.11</w:t>
            </w:r>
          </w:p>
        </w:tc>
        <w:tc>
          <w:tcPr>
            <w:tcW w:type="dxa" w:w="1984"/>
          </w:tcPr>
          <w:p>
            <w:r>
              <w:rPr>
                <w:rFonts w:ascii="Aptos" w:hAnsi="Aptos"/>
                <w:sz w:val="20"/>
              </w:rPr>
              <w:t>-0.09</w:t>
            </w:r>
          </w:p>
        </w:tc>
      </w:tr>
      <w:tr>
        <w:tc>
          <w:tcPr>
            <w:tcW w:type="dxa" w:w="3118"/>
          </w:tcPr>
          <w:p>
            <w:r>
              <w:rPr>
                <w:rFonts w:ascii="Aptos" w:hAnsi="Aptos"/>
                <w:sz w:val="20"/>
              </w:rPr>
              <w:t>France</w:t>
            </w:r>
          </w:p>
        </w:tc>
        <w:tc>
          <w:tcPr>
            <w:tcW w:type="dxa" w:w="1984"/>
          </w:tcPr>
          <w:p>
            <w:r>
              <w:rPr>
                <w:rFonts w:ascii="Aptos" w:hAnsi="Aptos"/>
                <w:sz w:val="20"/>
              </w:rPr>
              <w:t>-0.29</w:t>
            </w:r>
          </w:p>
        </w:tc>
        <w:tc>
          <w:tcPr>
            <w:tcW w:type="dxa" w:w="1701"/>
          </w:tcPr>
          <w:p>
            <w:r>
              <w:rPr>
                <w:rFonts w:ascii="Aptos" w:hAnsi="Aptos"/>
                <w:sz w:val="20"/>
              </w:rPr>
              <w:t>+0.19</w:t>
            </w:r>
          </w:p>
        </w:tc>
        <w:tc>
          <w:tcPr>
            <w:tcW w:type="dxa" w:w="1984"/>
          </w:tcPr>
          <w:p>
            <w:r>
              <w:rPr>
                <w:rFonts w:ascii="Aptos" w:hAnsi="Aptos"/>
                <w:sz w:val="20"/>
              </w:rPr>
              <w:t>-0.09</w:t>
            </w:r>
          </w:p>
        </w:tc>
      </w:tr>
      <w:tr>
        <w:tc>
          <w:tcPr>
            <w:tcW w:type="dxa" w:w="3118"/>
          </w:tcPr>
          <w:p>
            <w:r>
              <w:rPr>
                <w:rFonts w:ascii="Aptos" w:hAnsi="Aptos"/>
                <w:sz w:val="20"/>
              </w:rPr>
              <w:t>United Kingdom</w:t>
            </w:r>
          </w:p>
        </w:tc>
        <w:tc>
          <w:tcPr>
            <w:tcW w:type="dxa" w:w="1984"/>
          </w:tcPr>
          <w:p>
            <w:r>
              <w:rPr>
                <w:rFonts w:ascii="Aptos" w:hAnsi="Aptos"/>
                <w:sz w:val="20"/>
              </w:rPr>
              <w:t>+0.03</w:t>
            </w:r>
          </w:p>
        </w:tc>
        <w:tc>
          <w:tcPr>
            <w:tcW w:type="dxa" w:w="1701"/>
          </w:tcPr>
          <w:p>
            <w:r>
              <w:rPr>
                <w:rFonts w:ascii="Aptos" w:hAnsi="Aptos"/>
                <w:sz w:val="20"/>
              </w:rPr>
              <w:t>-0.10</w:t>
            </w:r>
          </w:p>
        </w:tc>
        <w:tc>
          <w:tcPr>
            <w:tcW w:type="dxa" w:w="1984"/>
          </w:tcPr>
          <w:p>
            <w:r>
              <w:rPr>
                <w:rFonts w:ascii="Aptos" w:hAnsi="Aptos"/>
                <w:sz w:val="20"/>
              </w:rPr>
              <w:t>-0.07</w:t>
            </w:r>
          </w:p>
        </w:tc>
      </w:tr>
      <w:tr>
        <w:tc>
          <w:tcPr>
            <w:tcW w:type="dxa" w:w="3118"/>
          </w:tcPr>
          <w:p>
            <w:r>
              <w:rPr>
                <w:rFonts w:ascii="Aptos" w:hAnsi="Aptos"/>
                <w:sz w:val="20"/>
              </w:rPr>
              <w:t>Switzerland</w:t>
            </w:r>
          </w:p>
        </w:tc>
        <w:tc>
          <w:tcPr>
            <w:tcW w:type="dxa" w:w="1984"/>
          </w:tcPr>
          <w:p>
            <w:r>
              <w:rPr>
                <w:rFonts w:ascii="Aptos" w:hAnsi="Aptos"/>
                <w:sz w:val="20"/>
              </w:rPr>
              <w:t>+0.06</w:t>
            </w:r>
          </w:p>
        </w:tc>
        <w:tc>
          <w:tcPr>
            <w:tcW w:type="dxa" w:w="1701"/>
          </w:tcPr>
          <w:p>
            <w:r>
              <w:rPr>
                <w:rFonts w:ascii="Aptos" w:hAnsi="Aptos"/>
                <w:sz w:val="20"/>
              </w:rPr>
              <w:t>+0.00</w:t>
            </w:r>
          </w:p>
        </w:tc>
        <w:tc>
          <w:tcPr>
            <w:tcW w:type="dxa" w:w="1984"/>
          </w:tcPr>
          <w:p>
            <w:r>
              <w:rPr>
                <w:rFonts w:ascii="Aptos" w:hAnsi="Aptos"/>
                <w:sz w:val="20"/>
              </w:rPr>
              <w:t>+0.06</w:t>
            </w:r>
          </w:p>
        </w:tc>
      </w:tr>
      <w:tr>
        <w:tc>
          <w:tcPr>
            <w:tcW w:type="dxa" w:w="3118"/>
          </w:tcPr>
          <w:p>
            <w:r>
              <w:rPr>
                <w:rFonts w:ascii="Aptos" w:hAnsi="Aptos"/>
                <w:sz w:val="20"/>
              </w:rPr>
              <w:t>All other countries</w:t>
            </w:r>
          </w:p>
        </w:tc>
        <w:tc>
          <w:tcPr>
            <w:tcW w:type="dxa" w:w="1984"/>
          </w:tcPr>
          <w:p>
            <w:r>
              <w:rPr>
                <w:rFonts w:ascii="Aptos" w:hAnsi="Aptos"/>
                <w:sz w:val="20"/>
              </w:rPr>
              <w:t>+0.10</w:t>
            </w:r>
          </w:p>
        </w:tc>
        <w:tc>
          <w:tcPr>
            <w:tcW w:type="dxa" w:w="1701"/>
          </w:tcPr>
          <w:p>
            <w:r>
              <w:rPr>
                <w:rFonts w:ascii="Aptos" w:hAnsi="Aptos"/>
                <w:sz w:val="20"/>
              </w:rPr>
              <w:t>-0.04</w:t>
            </w:r>
          </w:p>
        </w:tc>
        <w:tc>
          <w:tcPr>
            <w:tcW w:type="dxa" w:w="1984"/>
          </w:tcPr>
          <w:p>
            <w:r>
              <w:rPr>
                <w:rFonts w:ascii="Aptos" w:hAnsi="Aptos"/>
                <w:sz w:val="20"/>
              </w:rPr>
              <w:t>+0.06</w:t>
            </w:r>
          </w:p>
        </w:tc>
      </w:tr>
    </w:tbl>
    <w:p/>
    <w:p>
      <w:pPr>
        <w:pStyle w:val="Heading1"/>
      </w:pPr>
      <w:r>
        <w:rPr>
          <w:rFonts w:ascii="Aptos" w:hAnsi="Aptos"/>
          <w:color w:val="1A2E3B"/>
        </w:rPr>
        <w:t>Positioning by country</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Country</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United States</w:t>
            </w:r>
          </w:p>
        </w:tc>
        <w:tc>
          <w:tcPr>
            <w:tcW w:type="dxa" w:w="1701"/>
          </w:tcPr>
          <w:p>
            <w:r>
              <w:rPr>
                <w:rFonts w:ascii="Aptos" w:hAnsi="Aptos"/>
                <w:sz w:val="20"/>
              </w:rPr>
              <w:t>61.6</w:t>
            </w:r>
          </w:p>
        </w:tc>
        <w:tc>
          <w:tcPr>
            <w:tcW w:type="dxa" w:w="1984"/>
          </w:tcPr>
          <w:p>
            <w:r>
              <w:rPr>
                <w:rFonts w:ascii="Aptos" w:hAnsi="Aptos"/>
                <w:sz w:val="20"/>
              </w:rPr>
              <w:t>72.0</w:t>
            </w:r>
          </w:p>
        </w:tc>
        <w:tc>
          <w:tcPr>
            <w:tcW w:type="dxa" w:w="1701"/>
          </w:tcPr>
          <w:p>
            <w:r>
              <w:rPr>
                <w:rFonts w:ascii="Aptos" w:hAnsi="Aptos"/>
                <w:sz w:val="20"/>
              </w:rPr>
              <w:t>-10.3</w:t>
            </w:r>
          </w:p>
        </w:tc>
      </w:tr>
      <w:tr>
        <w:tc>
          <w:tcPr>
            <w:tcW w:type="dxa" w:w="3118"/>
          </w:tcPr>
          <w:p>
            <w:r>
              <w:rPr>
                <w:rFonts w:ascii="Aptos" w:hAnsi="Aptos"/>
                <w:sz w:val="20"/>
              </w:rPr>
              <w:t>Japan</w:t>
            </w:r>
          </w:p>
        </w:tc>
        <w:tc>
          <w:tcPr>
            <w:tcW w:type="dxa" w:w="1701"/>
          </w:tcPr>
          <w:p>
            <w:r>
              <w:rPr>
                <w:rFonts w:ascii="Aptos" w:hAnsi="Aptos"/>
                <w:sz w:val="20"/>
              </w:rPr>
              <w:t>8.7</w:t>
            </w:r>
          </w:p>
        </w:tc>
        <w:tc>
          <w:tcPr>
            <w:tcW w:type="dxa" w:w="1984"/>
          </w:tcPr>
          <w:p>
            <w:r>
              <w:rPr>
                <w:rFonts w:ascii="Aptos" w:hAnsi="Aptos"/>
                <w:sz w:val="20"/>
              </w:rPr>
              <w:t>5.7</w:t>
            </w:r>
          </w:p>
        </w:tc>
        <w:tc>
          <w:tcPr>
            <w:tcW w:type="dxa" w:w="1701"/>
          </w:tcPr>
          <w:p>
            <w:r>
              <w:rPr>
                <w:rFonts w:ascii="Aptos" w:hAnsi="Aptos"/>
                <w:sz w:val="20"/>
              </w:rPr>
              <w:t>+3.0</w:t>
            </w:r>
          </w:p>
        </w:tc>
      </w:tr>
      <w:tr>
        <w:tc>
          <w:tcPr>
            <w:tcW w:type="dxa" w:w="3118"/>
          </w:tcPr>
          <w:p>
            <w:r>
              <w:rPr>
                <w:rFonts w:ascii="Aptos" w:hAnsi="Aptos"/>
                <w:sz w:val="20"/>
              </w:rPr>
              <w:t>Australia</w:t>
            </w:r>
          </w:p>
        </w:tc>
        <w:tc>
          <w:tcPr>
            <w:tcW w:type="dxa" w:w="1701"/>
          </w:tcPr>
          <w:p>
            <w:r>
              <w:rPr>
                <w:rFonts w:ascii="Aptos" w:hAnsi="Aptos"/>
                <w:sz w:val="20"/>
              </w:rPr>
              <w:t>3.2</w:t>
            </w:r>
          </w:p>
        </w:tc>
        <w:tc>
          <w:tcPr>
            <w:tcW w:type="dxa" w:w="1984"/>
          </w:tcPr>
          <w:p>
            <w:r>
              <w:rPr>
                <w:rFonts w:ascii="Aptos" w:hAnsi="Aptos"/>
                <w:sz w:val="20"/>
              </w:rPr>
              <w:t>1.6</w:t>
            </w:r>
          </w:p>
        </w:tc>
        <w:tc>
          <w:tcPr>
            <w:tcW w:type="dxa" w:w="1701"/>
          </w:tcPr>
          <w:p>
            <w:r>
              <w:rPr>
                <w:rFonts w:ascii="Aptos" w:hAnsi="Aptos"/>
                <w:sz w:val="20"/>
              </w:rPr>
              <w:t>+1.5</w:t>
            </w:r>
          </w:p>
        </w:tc>
      </w:tr>
      <w:tr>
        <w:tc>
          <w:tcPr>
            <w:tcW w:type="dxa" w:w="3118"/>
          </w:tcPr>
          <w:p>
            <w:r>
              <w:rPr>
                <w:rFonts w:ascii="Aptos" w:hAnsi="Aptos"/>
                <w:sz w:val="20"/>
              </w:rPr>
              <w:t>Germany</w:t>
            </w:r>
          </w:p>
        </w:tc>
        <w:tc>
          <w:tcPr>
            <w:tcW w:type="dxa" w:w="1701"/>
          </w:tcPr>
          <w:p>
            <w:r>
              <w:rPr>
                <w:rFonts w:ascii="Aptos" w:hAnsi="Aptos"/>
                <w:sz w:val="20"/>
              </w:rPr>
              <w:t>3.8</w:t>
            </w:r>
          </w:p>
        </w:tc>
        <w:tc>
          <w:tcPr>
            <w:tcW w:type="dxa" w:w="1984"/>
          </w:tcPr>
          <w:p>
            <w:r>
              <w:rPr>
                <w:rFonts w:ascii="Aptos" w:hAnsi="Aptos"/>
                <w:sz w:val="20"/>
              </w:rPr>
              <w:t>2.2</w:t>
            </w:r>
          </w:p>
        </w:tc>
        <w:tc>
          <w:tcPr>
            <w:tcW w:type="dxa" w:w="1701"/>
          </w:tcPr>
          <w:p>
            <w:r>
              <w:rPr>
                <w:rFonts w:ascii="Aptos" w:hAnsi="Aptos"/>
                <w:sz w:val="20"/>
              </w:rPr>
              <w:t>+1.6</w:t>
            </w:r>
          </w:p>
        </w:tc>
      </w:tr>
      <w:tr>
        <w:tc>
          <w:tcPr>
            <w:tcW w:type="dxa" w:w="3118"/>
          </w:tcPr>
          <w:p>
            <w:r>
              <w:rPr>
                <w:rFonts w:ascii="Aptos" w:hAnsi="Aptos"/>
                <w:sz w:val="20"/>
              </w:rPr>
              <w:t>Canada</w:t>
            </w:r>
          </w:p>
        </w:tc>
        <w:tc>
          <w:tcPr>
            <w:tcW w:type="dxa" w:w="1701"/>
          </w:tcPr>
          <w:p>
            <w:r>
              <w:rPr>
                <w:rFonts w:ascii="Aptos" w:hAnsi="Aptos"/>
                <w:sz w:val="20"/>
              </w:rPr>
              <w:t>3.2</w:t>
            </w:r>
          </w:p>
        </w:tc>
        <w:tc>
          <w:tcPr>
            <w:tcW w:type="dxa" w:w="1984"/>
          </w:tcPr>
          <w:p>
            <w:r>
              <w:rPr>
                <w:rFonts w:ascii="Aptos" w:hAnsi="Aptos"/>
                <w:sz w:val="20"/>
              </w:rPr>
              <w:t>3.5</w:t>
            </w:r>
          </w:p>
        </w:tc>
        <w:tc>
          <w:tcPr>
            <w:tcW w:type="dxa" w:w="1701"/>
          </w:tcPr>
          <w:p>
            <w:r>
              <w:rPr>
                <w:rFonts w:ascii="Aptos" w:hAnsi="Aptos"/>
                <w:sz w:val="20"/>
              </w:rPr>
              <w:t>-0.3</w:t>
            </w:r>
          </w:p>
        </w:tc>
      </w:tr>
      <w:tr>
        <w:tc>
          <w:tcPr>
            <w:tcW w:type="dxa" w:w="3118"/>
          </w:tcPr>
          <w:p>
            <w:r>
              <w:rPr>
                <w:rFonts w:ascii="Aptos" w:hAnsi="Aptos"/>
                <w:sz w:val="20"/>
              </w:rPr>
              <w:t>France</w:t>
            </w:r>
          </w:p>
        </w:tc>
        <w:tc>
          <w:tcPr>
            <w:tcW w:type="dxa" w:w="1701"/>
          </w:tcPr>
          <w:p>
            <w:r>
              <w:rPr>
                <w:rFonts w:ascii="Aptos" w:hAnsi="Aptos"/>
                <w:sz w:val="20"/>
              </w:rPr>
              <w:t>10.2</w:t>
            </w:r>
          </w:p>
        </w:tc>
        <w:tc>
          <w:tcPr>
            <w:tcW w:type="dxa" w:w="1984"/>
          </w:tcPr>
          <w:p>
            <w:r>
              <w:rPr>
                <w:rFonts w:ascii="Aptos" w:hAnsi="Aptos"/>
                <w:sz w:val="20"/>
              </w:rPr>
              <w:t>2.4</w:t>
            </w:r>
          </w:p>
        </w:tc>
        <w:tc>
          <w:tcPr>
            <w:tcW w:type="dxa" w:w="1701"/>
          </w:tcPr>
          <w:p>
            <w:r>
              <w:rPr>
                <w:rFonts w:ascii="Aptos" w:hAnsi="Aptos"/>
                <w:sz w:val="20"/>
              </w:rPr>
              <w:t>+7.8</w:t>
            </w:r>
          </w:p>
        </w:tc>
      </w:tr>
      <w:tr>
        <w:tc>
          <w:tcPr>
            <w:tcW w:type="dxa" w:w="3118"/>
          </w:tcPr>
          <w:p>
            <w:r>
              <w:rPr>
                <w:rFonts w:ascii="Aptos" w:hAnsi="Aptos"/>
                <w:sz w:val="20"/>
              </w:rPr>
              <w:t>United Kingdom</w:t>
            </w:r>
          </w:p>
        </w:tc>
        <w:tc>
          <w:tcPr>
            <w:tcW w:type="dxa" w:w="1701"/>
          </w:tcPr>
          <w:p>
            <w:r>
              <w:rPr>
                <w:rFonts w:ascii="Aptos" w:hAnsi="Aptos"/>
                <w:sz w:val="20"/>
              </w:rPr>
              <w:t>2.1</w:t>
            </w:r>
          </w:p>
        </w:tc>
        <w:tc>
          <w:tcPr>
            <w:tcW w:type="dxa" w:w="1984"/>
          </w:tcPr>
          <w:p>
            <w:r>
              <w:rPr>
                <w:rFonts w:ascii="Aptos" w:hAnsi="Aptos"/>
                <w:sz w:val="20"/>
              </w:rPr>
              <w:t>3.5</w:t>
            </w:r>
          </w:p>
        </w:tc>
        <w:tc>
          <w:tcPr>
            <w:tcW w:type="dxa" w:w="1701"/>
          </w:tcPr>
          <w:p>
            <w:r>
              <w:rPr>
                <w:rFonts w:ascii="Aptos" w:hAnsi="Aptos"/>
                <w:sz w:val="20"/>
              </w:rPr>
              <w:t>-1.4</w:t>
            </w:r>
          </w:p>
        </w:tc>
      </w:tr>
      <w:tr>
        <w:tc>
          <w:tcPr>
            <w:tcW w:type="dxa" w:w="3118"/>
          </w:tcPr>
          <w:p>
            <w:r>
              <w:rPr>
                <w:rFonts w:ascii="Aptos" w:hAnsi="Aptos"/>
                <w:sz w:val="20"/>
              </w:rPr>
              <w:t>Switzerland</w:t>
            </w:r>
          </w:p>
        </w:tc>
        <w:tc>
          <w:tcPr>
            <w:tcW w:type="dxa" w:w="1701"/>
          </w:tcPr>
          <w:p>
            <w:r>
              <w:rPr>
                <w:rFonts w:ascii="Aptos" w:hAnsi="Aptos"/>
                <w:sz w:val="20"/>
              </w:rPr>
              <w:t>0.0</w:t>
            </w:r>
          </w:p>
        </w:tc>
        <w:tc>
          <w:tcPr>
            <w:tcW w:type="dxa" w:w="1984"/>
          </w:tcPr>
          <w:p>
            <w:r>
              <w:rPr>
                <w:rFonts w:ascii="Aptos" w:hAnsi="Aptos"/>
                <w:sz w:val="20"/>
              </w:rPr>
              <w:t>2.3</w:t>
            </w:r>
          </w:p>
        </w:tc>
        <w:tc>
          <w:tcPr>
            <w:tcW w:type="dxa" w:w="1701"/>
          </w:tcPr>
          <w:p>
            <w:r>
              <w:rPr>
                <w:rFonts w:ascii="Aptos" w:hAnsi="Aptos"/>
                <w:sz w:val="20"/>
              </w:rPr>
              <w:t>-2.3</w:t>
            </w:r>
          </w:p>
        </w:tc>
      </w:tr>
      <w:tr>
        <w:tc>
          <w:tcPr>
            <w:tcW w:type="dxa" w:w="3118"/>
          </w:tcPr>
          <w:p>
            <w:r>
              <w:rPr>
                <w:rFonts w:ascii="Aptos" w:hAnsi="Aptos"/>
                <w:sz w:val="20"/>
              </w:rPr>
              <w:t>All other countries</w:t>
            </w:r>
          </w:p>
        </w:tc>
        <w:tc>
          <w:tcPr>
            <w:tcW w:type="dxa" w:w="1701"/>
          </w:tcPr>
          <w:p>
            <w:r>
              <w:rPr>
                <w:rFonts w:ascii="Aptos" w:hAnsi="Aptos"/>
                <w:sz w:val="20"/>
              </w:rPr>
              <w:t>7.2</w:t>
            </w:r>
          </w:p>
        </w:tc>
        <w:tc>
          <w:tcPr>
            <w:tcW w:type="dxa" w:w="1984"/>
          </w:tcPr>
          <w:p>
            <w:r>
              <w:rPr>
                <w:rFonts w:ascii="Aptos" w:hAnsi="Aptos"/>
                <w:sz w:val="20"/>
              </w:rPr>
              <w:t>6.8</w:t>
            </w:r>
          </w:p>
        </w:tc>
        <w:tc>
          <w:tcPr>
            <w:tcW w:type="dxa" w:w="1701"/>
          </w:tcPr>
          <w:p>
            <w:r>
              <w:rPr>
                <w:rFonts w:ascii="Aptos" w:hAnsi="Aptos"/>
                <w:sz w:val="20"/>
              </w:rPr>
              <w:t>+0.4</w:t>
            </w:r>
          </w:p>
        </w:tc>
      </w:tr>
    </w:tbl>
    <w:p/>
    <w:p>
      <w:pPr>
        <w:pStyle w:val="Heading1"/>
      </w:pPr>
      <w:r>
        <w:rPr>
          <w:rFonts w:ascii="Aptos" w:hAnsi="Aptos"/>
          <w:color w:val="1A2E3B"/>
        </w:rPr>
        <w:t>Attribution by holding</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Holding</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BHP Group Ltd</w:t>
            </w:r>
          </w:p>
        </w:tc>
        <w:tc>
          <w:tcPr>
            <w:tcW w:type="dxa" w:w="1984"/>
          </w:tcPr>
          <w:p>
            <w:r>
              <w:rPr>
                <w:rFonts w:ascii="Aptos" w:hAnsi="Aptos"/>
                <w:sz w:val="20"/>
              </w:rPr>
              <w:t>+0.29</w:t>
            </w:r>
          </w:p>
        </w:tc>
        <w:tc>
          <w:tcPr>
            <w:tcW w:type="dxa" w:w="1701"/>
          </w:tcPr>
          <w:p>
            <w:r>
              <w:rPr>
                <w:rFonts w:ascii="Aptos" w:hAnsi="Aptos"/>
                <w:sz w:val="20"/>
              </w:rPr>
              <w:t>-0.03</w:t>
            </w:r>
          </w:p>
        </w:tc>
        <w:tc>
          <w:tcPr>
            <w:tcW w:type="dxa" w:w="1984"/>
          </w:tcPr>
          <w:p>
            <w:r>
              <w:rPr>
                <w:rFonts w:ascii="Aptos" w:hAnsi="Aptos"/>
                <w:sz w:val="20"/>
              </w:rPr>
              <w:t>+0.26</w:t>
            </w:r>
          </w:p>
        </w:tc>
      </w:tr>
      <w:tr>
        <w:tc>
          <w:tcPr>
            <w:tcW w:type="dxa" w:w="3118"/>
          </w:tcPr>
          <w:p>
            <w:r>
              <w:rPr>
                <w:rFonts w:ascii="Aptos" w:hAnsi="Aptos"/>
                <w:sz w:val="20"/>
              </w:rPr>
              <w:t>Merck &amp; Co., Inc.</w:t>
            </w:r>
          </w:p>
        </w:tc>
        <w:tc>
          <w:tcPr>
            <w:tcW w:type="dxa" w:w="1984"/>
          </w:tcPr>
          <w:p>
            <w:r>
              <w:rPr>
                <w:rFonts w:ascii="Aptos" w:hAnsi="Aptos"/>
                <w:sz w:val="20"/>
              </w:rPr>
              <w:t>+0.26</w:t>
            </w:r>
          </w:p>
        </w:tc>
        <w:tc>
          <w:tcPr>
            <w:tcW w:type="dxa" w:w="1701"/>
          </w:tcPr>
          <w:p>
            <w:r>
              <w:rPr>
                <w:rFonts w:ascii="Aptos" w:hAnsi="Aptos"/>
                <w:sz w:val="20"/>
              </w:rPr>
              <w:t>+0.00</w:t>
            </w:r>
          </w:p>
        </w:tc>
        <w:tc>
          <w:tcPr>
            <w:tcW w:type="dxa" w:w="1984"/>
          </w:tcPr>
          <w:p>
            <w:r>
              <w:rPr>
                <w:rFonts w:ascii="Aptos" w:hAnsi="Aptos"/>
                <w:sz w:val="20"/>
              </w:rPr>
              <w:t>+0.26</w:t>
            </w:r>
          </w:p>
        </w:tc>
      </w:tr>
      <w:tr>
        <w:tc>
          <w:tcPr>
            <w:tcW w:type="dxa" w:w="3118"/>
          </w:tcPr>
          <w:p>
            <w:r>
              <w:rPr>
                <w:rFonts w:ascii="Aptos" w:hAnsi="Aptos"/>
                <w:sz w:val="20"/>
              </w:rPr>
              <w:t>SAP SE</w:t>
            </w:r>
          </w:p>
        </w:tc>
        <w:tc>
          <w:tcPr>
            <w:tcW w:type="dxa" w:w="1984"/>
          </w:tcPr>
          <w:p>
            <w:r>
              <w:rPr>
                <w:rFonts w:ascii="Aptos" w:hAnsi="Aptos"/>
                <w:sz w:val="20"/>
              </w:rPr>
              <w:t>+0.13</w:t>
            </w:r>
          </w:p>
        </w:tc>
        <w:tc>
          <w:tcPr>
            <w:tcW w:type="dxa" w:w="1701"/>
          </w:tcPr>
          <w:p>
            <w:r>
              <w:rPr>
                <w:rFonts w:ascii="Aptos" w:hAnsi="Aptos"/>
                <w:sz w:val="20"/>
              </w:rPr>
              <w:t>+0.00</w:t>
            </w:r>
          </w:p>
        </w:tc>
        <w:tc>
          <w:tcPr>
            <w:tcW w:type="dxa" w:w="1984"/>
          </w:tcPr>
          <w:p>
            <w:r>
              <w:rPr>
                <w:rFonts w:ascii="Aptos" w:hAnsi="Aptos"/>
                <w:sz w:val="20"/>
              </w:rPr>
              <w:t>+0.13</w:t>
            </w:r>
          </w:p>
        </w:tc>
      </w:tr>
      <w:tr>
        <w:tc>
          <w:tcPr>
            <w:tcW w:type="dxa" w:w="3118"/>
          </w:tcPr>
          <w:p>
            <w:r>
              <w:rPr>
                <w:rFonts w:ascii="Aptos" w:hAnsi="Aptos"/>
                <w:sz w:val="20"/>
              </w:rPr>
              <w:t>Oracle Corporation</w:t>
            </w:r>
          </w:p>
        </w:tc>
        <w:tc>
          <w:tcPr>
            <w:tcW w:type="dxa" w:w="1984"/>
          </w:tcPr>
          <w:p>
            <w:r>
              <w:rPr>
                <w:rFonts w:ascii="Aptos" w:hAnsi="Aptos"/>
                <w:sz w:val="20"/>
              </w:rPr>
              <w:t>+0.09</w:t>
            </w:r>
          </w:p>
        </w:tc>
        <w:tc>
          <w:tcPr>
            <w:tcW w:type="dxa" w:w="1701"/>
          </w:tcPr>
          <w:p>
            <w:r>
              <w:rPr>
                <w:rFonts w:ascii="Aptos" w:hAnsi="Aptos"/>
                <w:sz w:val="20"/>
              </w:rPr>
              <w:t>-0.00</w:t>
            </w:r>
          </w:p>
        </w:tc>
        <w:tc>
          <w:tcPr>
            <w:tcW w:type="dxa" w:w="1984"/>
          </w:tcPr>
          <w:p>
            <w:r>
              <w:rPr>
                <w:rFonts w:ascii="Aptos" w:hAnsi="Aptos"/>
                <w:sz w:val="20"/>
              </w:rPr>
              <w:t>+0.09</w:t>
            </w:r>
          </w:p>
        </w:tc>
      </w:tr>
      <w:tr>
        <w:tc>
          <w:tcPr>
            <w:tcW w:type="dxa" w:w="3118"/>
          </w:tcPr>
          <w:p>
            <w:r>
              <w:rPr>
                <w:rFonts w:ascii="Aptos" w:hAnsi="Aptos"/>
                <w:sz w:val="20"/>
              </w:rPr>
              <w:t>BlackRock, Inc.</w:t>
            </w:r>
          </w:p>
        </w:tc>
        <w:tc>
          <w:tcPr>
            <w:tcW w:type="dxa" w:w="1984"/>
          </w:tcPr>
          <w:p>
            <w:r>
              <w:rPr>
                <w:rFonts w:ascii="Aptos" w:hAnsi="Aptos"/>
                <w:sz w:val="20"/>
              </w:rPr>
              <w:t>+0.06</w:t>
            </w:r>
          </w:p>
        </w:tc>
        <w:tc>
          <w:tcPr>
            <w:tcW w:type="dxa" w:w="1701"/>
          </w:tcPr>
          <w:p>
            <w:r>
              <w:rPr>
                <w:rFonts w:ascii="Aptos" w:hAnsi="Aptos"/>
                <w:sz w:val="20"/>
              </w:rPr>
              <w:t>+0.00</w:t>
            </w:r>
          </w:p>
        </w:tc>
        <w:tc>
          <w:tcPr>
            <w:tcW w:type="dxa" w:w="1984"/>
          </w:tcPr>
          <w:p>
            <w:r>
              <w:rPr>
                <w:rFonts w:ascii="Aptos" w:hAnsi="Aptos"/>
                <w:sz w:val="20"/>
              </w:rPr>
              <w:t>+0.06</w:t>
            </w:r>
          </w:p>
        </w:tc>
      </w:tr>
      <w:tr>
        <w:tc>
          <w:tcPr>
            <w:tcW w:type="dxa" w:w="3118"/>
          </w:tcPr>
          <w:p>
            <w:r>
              <w:rPr>
                <w:rFonts w:ascii="Aptos" w:hAnsi="Aptos"/>
                <w:sz w:val="20"/>
              </w:rPr>
              <w:t>Mitsubishi Heavy Industries, Ltd.</w:t>
            </w:r>
          </w:p>
        </w:tc>
        <w:tc>
          <w:tcPr>
            <w:tcW w:type="dxa" w:w="1984"/>
          </w:tcPr>
          <w:p>
            <w:r>
              <w:rPr>
                <w:rFonts w:ascii="Aptos" w:hAnsi="Aptos"/>
                <w:sz w:val="20"/>
              </w:rPr>
              <w:t>+0.00</w:t>
            </w:r>
          </w:p>
        </w:tc>
        <w:tc>
          <w:tcPr>
            <w:tcW w:type="dxa" w:w="1701"/>
          </w:tcPr>
          <w:p>
            <w:r>
              <w:rPr>
                <w:rFonts w:ascii="Aptos" w:hAnsi="Aptos"/>
                <w:sz w:val="20"/>
              </w:rPr>
              <w:t>+0.00</w:t>
            </w:r>
          </w:p>
        </w:tc>
        <w:tc>
          <w:tcPr>
            <w:tcW w:type="dxa" w:w="1984"/>
          </w:tcPr>
          <w:p>
            <w:r>
              <w:rPr>
                <w:rFonts w:ascii="Aptos" w:hAnsi="Aptos"/>
                <w:sz w:val="20"/>
              </w:rPr>
              <w:t>+0.00</w:t>
            </w:r>
          </w:p>
        </w:tc>
      </w:tr>
      <w:tr>
        <w:tc>
          <w:tcPr>
            <w:tcW w:type="dxa" w:w="3118"/>
          </w:tcPr>
          <w:p>
            <w:r>
              <w:rPr>
                <w:rFonts w:ascii="Aptos" w:hAnsi="Aptos"/>
                <w:sz w:val="20"/>
              </w:rPr>
              <w:t>Apple Inc.</w:t>
            </w:r>
          </w:p>
        </w:tc>
        <w:tc>
          <w:tcPr>
            <w:tcW w:type="dxa" w:w="1984"/>
          </w:tcPr>
          <w:p>
            <w:r>
              <w:rPr>
                <w:rFonts w:ascii="Aptos" w:hAnsi="Aptos"/>
                <w:sz w:val="20"/>
              </w:rPr>
              <w:t>-0.00</w:t>
            </w:r>
          </w:p>
        </w:tc>
        <w:tc>
          <w:tcPr>
            <w:tcW w:type="dxa" w:w="1701"/>
          </w:tcPr>
          <w:p>
            <w:r>
              <w:rPr>
                <w:rFonts w:ascii="Aptos" w:hAnsi="Aptos"/>
                <w:sz w:val="20"/>
              </w:rPr>
              <w:t>+0.00</w:t>
            </w:r>
          </w:p>
        </w:tc>
        <w:tc>
          <w:tcPr>
            <w:tcW w:type="dxa" w:w="1984"/>
          </w:tcPr>
          <w:p>
            <w:r>
              <w:rPr>
                <w:rFonts w:ascii="Aptos" w:hAnsi="Aptos"/>
                <w:sz w:val="20"/>
              </w:rPr>
              <w:t>-0.00</w:t>
            </w:r>
          </w:p>
        </w:tc>
      </w:tr>
      <w:tr>
        <w:tc>
          <w:tcPr>
            <w:tcW w:type="dxa" w:w="3118"/>
          </w:tcPr>
          <w:p>
            <w:r>
              <w:rPr>
                <w:rFonts w:ascii="Aptos" w:hAnsi="Aptos"/>
                <w:sz w:val="20"/>
              </w:rPr>
              <w:t>FAST RETAILING CO., LTD.</w:t>
            </w:r>
          </w:p>
        </w:tc>
        <w:tc>
          <w:tcPr>
            <w:tcW w:type="dxa" w:w="1984"/>
          </w:tcPr>
          <w:p>
            <w:r>
              <w:rPr>
                <w:rFonts w:ascii="Aptos" w:hAnsi="Aptos"/>
                <w:sz w:val="20"/>
              </w:rPr>
              <w:t>-0.19</w:t>
            </w:r>
          </w:p>
        </w:tc>
        <w:tc>
          <w:tcPr>
            <w:tcW w:type="dxa" w:w="1701"/>
          </w:tcPr>
          <w:p>
            <w:r>
              <w:rPr>
                <w:rFonts w:ascii="Aptos" w:hAnsi="Aptos"/>
                <w:sz w:val="20"/>
              </w:rPr>
              <w:t>+0.00</w:t>
            </w:r>
          </w:p>
        </w:tc>
        <w:tc>
          <w:tcPr>
            <w:tcW w:type="dxa" w:w="1984"/>
          </w:tcPr>
          <w:p>
            <w:r>
              <w:rPr>
                <w:rFonts w:ascii="Aptos" w:hAnsi="Aptos"/>
                <w:sz w:val="20"/>
              </w:rPr>
              <w:t>-0.19</w:t>
            </w:r>
          </w:p>
        </w:tc>
      </w:tr>
      <w:tr>
        <w:tc>
          <w:tcPr>
            <w:tcW w:type="dxa" w:w="3118"/>
          </w:tcPr>
          <w:p>
            <w:r>
              <w:rPr>
                <w:rFonts w:ascii="Aptos" w:hAnsi="Aptos"/>
                <w:sz w:val="20"/>
              </w:rPr>
              <w:t>Howmet Aerospace Inc.</w:t>
            </w:r>
          </w:p>
        </w:tc>
        <w:tc>
          <w:tcPr>
            <w:tcW w:type="dxa" w:w="1984"/>
          </w:tcPr>
          <w:p>
            <w:r>
              <w:rPr>
                <w:rFonts w:ascii="Aptos" w:hAnsi="Aptos"/>
                <w:sz w:val="20"/>
              </w:rPr>
              <w:t>-0.26</w:t>
            </w:r>
          </w:p>
        </w:tc>
        <w:tc>
          <w:tcPr>
            <w:tcW w:type="dxa" w:w="1701"/>
          </w:tcPr>
          <w:p>
            <w:r>
              <w:rPr>
                <w:rFonts w:ascii="Aptos" w:hAnsi="Aptos"/>
                <w:sz w:val="20"/>
              </w:rPr>
              <w:t>-0.00</w:t>
            </w:r>
          </w:p>
        </w:tc>
        <w:tc>
          <w:tcPr>
            <w:tcW w:type="dxa" w:w="1984"/>
          </w:tcPr>
          <w:p>
            <w:r>
              <w:rPr>
                <w:rFonts w:ascii="Aptos" w:hAnsi="Aptos"/>
                <w:sz w:val="20"/>
              </w:rPr>
              <w:t>-0.26</w:t>
            </w:r>
          </w:p>
        </w:tc>
      </w:tr>
      <w:tr>
        <w:tc>
          <w:tcPr>
            <w:tcW w:type="dxa" w:w="3118"/>
          </w:tcPr>
          <w:p>
            <w:r>
              <w:rPr>
                <w:rFonts w:ascii="Aptos" w:hAnsi="Aptos"/>
                <w:sz w:val="20"/>
              </w:rPr>
              <w:t>Fanuc Corporation</w:t>
            </w:r>
          </w:p>
        </w:tc>
        <w:tc>
          <w:tcPr>
            <w:tcW w:type="dxa" w:w="1984"/>
          </w:tcPr>
          <w:p>
            <w:r>
              <w:rPr>
                <w:rFonts w:ascii="Aptos" w:hAnsi="Aptos"/>
                <w:sz w:val="20"/>
              </w:rPr>
              <w:t>-0.33</w:t>
            </w:r>
          </w:p>
        </w:tc>
        <w:tc>
          <w:tcPr>
            <w:tcW w:type="dxa" w:w="1701"/>
          </w:tcPr>
          <w:p>
            <w:r>
              <w:rPr>
                <w:rFonts w:ascii="Aptos" w:hAnsi="Aptos"/>
                <w:sz w:val="20"/>
              </w:rPr>
              <w:t>+0.00</w:t>
            </w:r>
          </w:p>
        </w:tc>
        <w:tc>
          <w:tcPr>
            <w:tcW w:type="dxa" w:w="1984"/>
          </w:tcPr>
          <w:p>
            <w:r>
              <w:rPr>
                <w:rFonts w:ascii="Aptos" w:hAnsi="Aptos"/>
                <w:sz w:val="20"/>
              </w:rPr>
              <w:t>-0.33</w:t>
            </w:r>
          </w:p>
        </w:tc>
      </w:tr>
      <w:tr>
        <w:tc>
          <w:tcPr>
            <w:tcW w:type="dxa" w:w="3118"/>
          </w:tcPr>
          <w:p>
            <w:r>
              <w:rPr>
                <w:rFonts w:ascii="Aptos" w:hAnsi="Aptos"/>
                <w:sz w:val="20"/>
              </w:rPr>
              <w:t>Cummins Inc.</w:t>
            </w:r>
          </w:p>
        </w:tc>
        <w:tc>
          <w:tcPr>
            <w:tcW w:type="dxa" w:w="1984"/>
          </w:tcPr>
          <w:p>
            <w:r>
              <w:rPr>
                <w:rFonts w:ascii="Aptos" w:hAnsi="Aptos"/>
                <w:sz w:val="20"/>
              </w:rPr>
              <w:t>-0.41</w:t>
            </w:r>
          </w:p>
        </w:tc>
        <w:tc>
          <w:tcPr>
            <w:tcW w:type="dxa" w:w="1701"/>
          </w:tcPr>
          <w:p>
            <w:r>
              <w:rPr>
                <w:rFonts w:ascii="Aptos" w:hAnsi="Aptos"/>
                <w:sz w:val="20"/>
              </w:rPr>
              <w:t>+0.00</w:t>
            </w:r>
          </w:p>
        </w:tc>
        <w:tc>
          <w:tcPr>
            <w:tcW w:type="dxa" w:w="1984"/>
          </w:tcPr>
          <w:p>
            <w:r>
              <w:rPr>
                <w:rFonts w:ascii="Aptos" w:hAnsi="Aptos"/>
                <w:sz w:val="20"/>
              </w:rPr>
              <w:t>-0.41</w:t>
            </w:r>
          </w:p>
        </w:tc>
      </w:tr>
      <w:tr>
        <w:tc>
          <w:tcPr>
            <w:tcW w:type="dxa" w:w="3118"/>
          </w:tcPr>
          <w:p>
            <w:r>
              <w:rPr>
                <w:rFonts w:ascii="Aptos" w:hAnsi="Aptos"/>
                <w:sz w:val="20"/>
              </w:rPr>
              <w:t>Applied Materials, Inc.</w:t>
            </w:r>
          </w:p>
        </w:tc>
        <w:tc>
          <w:tcPr>
            <w:tcW w:type="dxa" w:w="1984"/>
          </w:tcPr>
          <w:p>
            <w:r>
              <w:rPr>
                <w:rFonts w:ascii="Aptos" w:hAnsi="Aptos"/>
                <w:sz w:val="20"/>
              </w:rPr>
              <w:t>-0.43</w:t>
            </w:r>
          </w:p>
        </w:tc>
        <w:tc>
          <w:tcPr>
            <w:tcW w:type="dxa" w:w="1701"/>
          </w:tcPr>
          <w:p>
            <w:r>
              <w:rPr>
                <w:rFonts w:ascii="Aptos" w:hAnsi="Aptos"/>
                <w:sz w:val="20"/>
              </w:rPr>
              <w:t>+0.00</w:t>
            </w:r>
          </w:p>
        </w:tc>
        <w:tc>
          <w:tcPr>
            <w:tcW w:type="dxa" w:w="1984"/>
          </w:tcPr>
          <w:p>
            <w:r>
              <w:rPr>
                <w:rFonts w:ascii="Aptos" w:hAnsi="Aptos"/>
                <w:sz w:val="20"/>
              </w:rPr>
              <w:t>-0.43</w:t>
            </w:r>
          </w:p>
        </w:tc>
      </w:tr>
    </w:tbl>
    <w:p/>
    <w:p>
      <w:pPr>
        <w:pStyle w:val="Heading1"/>
      </w:pPr>
      <w:r>
        <w:rPr>
          <w:rFonts w:ascii="Aptos" w:hAnsi="Aptos"/>
          <w:color w:val="1A2E3B"/>
        </w:rPr>
        <w:t>Positioning by holding</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Holding</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BHP Group Ltd</w:t>
            </w:r>
          </w:p>
        </w:tc>
        <w:tc>
          <w:tcPr>
            <w:tcW w:type="dxa" w:w="1701"/>
          </w:tcPr>
          <w:p>
            <w:r>
              <w:rPr>
                <w:rFonts w:ascii="Aptos" w:hAnsi="Aptos"/>
                <w:sz w:val="20"/>
              </w:rPr>
              <w:t>3.2</w:t>
            </w:r>
          </w:p>
        </w:tc>
        <w:tc>
          <w:tcPr>
            <w:tcW w:type="dxa" w:w="1984"/>
          </w:tcPr>
          <w:p>
            <w:r>
              <w:rPr>
                <w:rFonts w:ascii="Aptos" w:hAnsi="Aptos"/>
                <w:sz w:val="20"/>
              </w:rPr>
              <w:t>0.2</w:t>
            </w:r>
          </w:p>
        </w:tc>
        <w:tc>
          <w:tcPr>
            <w:tcW w:type="dxa" w:w="1701"/>
          </w:tcPr>
          <w:p>
            <w:r>
              <w:rPr>
                <w:rFonts w:ascii="Aptos" w:hAnsi="Aptos"/>
                <w:sz w:val="20"/>
              </w:rPr>
              <w:t>+2.9</w:t>
            </w:r>
          </w:p>
        </w:tc>
      </w:tr>
      <w:tr>
        <w:tc>
          <w:tcPr>
            <w:tcW w:type="dxa" w:w="3118"/>
          </w:tcPr>
          <w:p>
            <w:r>
              <w:rPr>
                <w:rFonts w:ascii="Aptos" w:hAnsi="Aptos"/>
                <w:sz w:val="20"/>
              </w:rPr>
              <w:t>Merck &amp; Co., Inc.</w:t>
            </w:r>
          </w:p>
        </w:tc>
        <w:tc>
          <w:tcPr>
            <w:tcW w:type="dxa" w:w="1701"/>
          </w:tcPr>
          <w:p>
            <w:r>
              <w:rPr>
                <w:rFonts w:ascii="Aptos" w:hAnsi="Aptos"/>
                <w:sz w:val="20"/>
              </w:rPr>
              <w:t>2.8</w:t>
            </w:r>
          </w:p>
        </w:tc>
        <w:tc>
          <w:tcPr>
            <w:tcW w:type="dxa" w:w="1984"/>
          </w:tcPr>
          <w:p>
            <w:r>
              <w:rPr>
                <w:rFonts w:ascii="Aptos" w:hAnsi="Aptos"/>
                <w:sz w:val="20"/>
              </w:rPr>
              <w:t>0.4</w:t>
            </w:r>
          </w:p>
        </w:tc>
        <w:tc>
          <w:tcPr>
            <w:tcW w:type="dxa" w:w="1701"/>
          </w:tcPr>
          <w:p>
            <w:r>
              <w:rPr>
                <w:rFonts w:ascii="Aptos" w:hAnsi="Aptos"/>
                <w:sz w:val="20"/>
              </w:rPr>
              <w:t>+2.5</w:t>
            </w:r>
          </w:p>
        </w:tc>
      </w:tr>
      <w:tr>
        <w:tc>
          <w:tcPr>
            <w:tcW w:type="dxa" w:w="3118"/>
          </w:tcPr>
          <w:p>
            <w:r>
              <w:rPr>
                <w:rFonts w:ascii="Aptos" w:hAnsi="Aptos"/>
                <w:sz w:val="20"/>
              </w:rPr>
              <w:t>SAP SE</w:t>
            </w:r>
          </w:p>
        </w:tc>
        <w:tc>
          <w:tcPr>
            <w:tcW w:type="dxa" w:w="1701"/>
          </w:tcPr>
          <w:p>
            <w:r>
              <w:rPr>
                <w:rFonts w:ascii="Aptos" w:hAnsi="Aptos"/>
                <w:sz w:val="20"/>
              </w:rPr>
              <w:t>1.0</w:t>
            </w:r>
          </w:p>
        </w:tc>
        <w:tc>
          <w:tcPr>
            <w:tcW w:type="dxa" w:w="1984"/>
          </w:tcPr>
          <w:p>
            <w:r>
              <w:rPr>
                <w:rFonts w:ascii="Aptos" w:hAnsi="Aptos"/>
                <w:sz w:val="20"/>
              </w:rPr>
              <w:t>0.2</w:t>
            </w:r>
          </w:p>
        </w:tc>
        <w:tc>
          <w:tcPr>
            <w:tcW w:type="dxa" w:w="1701"/>
          </w:tcPr>
          <w:p>
            <w:r>
              <w:rPr>
                <w:rFonts w:ascii="Aptos" w:hAnsi="Aptos"/>
                <w:sz w:val="20"/>
              </w:rPr>
              <w:t>+0.7</w:t>
            </w:r>
          </w:p>
        </w:tc>
      </w:tr>
      <w:tr>
        <w:tc>
          <w:tcPr>
            <w:tcW w:type="dxa" w:w="3118"/>
          </w:tcPr>
          <w:p>
            <w:r>
              <w:rPr>
                <w:rFonts w:ascii="Aptos" w:hAnsi="Aptos"/>
                <w:sz w:val="20"/>
              </w:rPr>
              <w:t>Oracle Corporation</w:t>
            </w:r>
          </w:p>
        </w:tc>
        <w:tc>
          <w:tcPr>
            <w:tcW w:type="dxa" w:w="1701"/>
          </w:tcPr>
          <w:p>
            <w:r>
              <w:rPr>
                <w:rFonts w:ascii="Aptos" w:hAnsi="Aptos"/>
                <w:sz w:val="20"/>
              </w:rPr>
              <w:t>1.1</w:t>
            </w:r>
          </w:p>
        </w:tc>
        <w:tc>
          <w:tcPr>
            <w:tcW w:type="dxa" w:w="1984"/>
          </w:tcPr>
          <w:p>
            <w:r>
              <w:rPr>
                <w:rFonts w:ascii="Aptos" w:hAnsi="Aptos"/>
                <w:sz w:val="20"/>
              </w:rPr>
              <w:t>0.3</w:t>
            </w:r>
          </w:p>
        </w:tc>
        <w:tc>
          <w:tcPr>
            <w:tcW w:type="dxa" w:w="1701"/>
          </w:tcPr>
          <w:p>
            <w:r>
              <w:rPr>
                <w:rFonts w:ascii="Aptos" w:hAnsi="Aptos"/>
                <w:sz w:val="20"/>
              </w:rPr>
              <w:t>+0.8</w:t>
            </w:r>
          </w:p>
        </w:tc>
      </w:tr>
      <w:tr>
        <w:tc>
          <w:tcPr>
            <w:tcW w:type="dxa" w:w="3118"/>
          </w:tcPr>
          <w:p>
            <w:r>
              <w:rPr>
                <w:rFonts w:ascii="Aptos" w:hAnsi="Aptos"/>
                <w:sz w:val="20"/>
              </w:rPr>
              <w:t>BlackRock, Inc.</w:t>
            </w:r>
          </w:p>
        </w:tc>
        <w:tc>
          <w:tcPr>
            <w:tcW w:type="dxa" w:w="1701"/>
          </w:tcPr>
          <w:p>
            <w:r>
              <w:rPr>
                <w:rFonts w:ascii="Aptos" w:hAnsi="Aptos"/>
                <w:sz w:val="20"/>
              </w:rPr>
              <w:t>2.2</w:t>
            </w:r>
          </w:p>
        </w:tc>
        <w:tc>
          <w:tcPr>
            <w:tcW w:type="dxa" w:w="1984"/>
          </w:tcPr>
          <w:p>
            <w:r>
              <w:rPr>
                <w:rFonts w:ascii="Aptos" w:hAnsi="Aptos"/>
                <w:sz w:val="20"/>
              </w:rPr>
              <w:t>0.2</w:t>
            </w:r>
          </w:p>
        </w:tc>
        <w:tc>
          <w:tcPr>
            <w:tcW w:type="dxa" w:w="1701"/>
          </w:tcPr>
          <w:p>
            <w:r>
              <w:rPr>
                <w:rFonts w:ascii="Aptos" w:hAnsi="Aptos"/>
                <w:sz w:val="20"/>
              </w:rPr>
              <w:t>+2.0</w:t>
            </w:r>
          </w:p>
        </w:tc>
      </w:tr>
      <w:tr>
        <w:tc>
          <w:tcPr>
            <w:tcW w:type="dxa" w:w="3118"/>
          </w:tcPr>
          <w:p>
            <w:r>
              <w:rPr>
                <w:rFonts w:ascii="Aptos" w:hAnsi="Aptos"/>
                <w:sz w:val="20"/>
              </w:rPr>
              <w:t>Mitsubishi Heavy Industries, Ltd.</w:t>
            </w:r>
          </w:p>
        </w:tc>
        <w:tc>
          <w:tcPr>
            <w:tcW w:type="dxa" w:w="1701"/>
          </w:tcPr>
          <w:p>
            <w:r>
              <w:rPr>
                <w:rFonts w:ascii="Aptos" w:hAnsi="Aptos"/>
                <w:sz w:val="20"/>
              </w:rPr>
              <w:t>1.9</w:t>
            </w:r>
          </w:p>
        </w:tc>
        <w:tc>
          <w:tcPr>
            <w:tcW w:type="dxa" w:w="1984"/>
          </w:tcPr>
          <w:p>
            <w:r>
              <w:rPr>
                <w:rFonts w:ascii="Aptos" w:hAnsi="Aptos"/>
                <w:sz w:val="20"/>
              </w:rPr>
              <w:t>0.1</w:t>
            </w:r>
          </w:p>
        </w:tc>
        <w:tc>
          <w:tcPr>
            <w:tcW w:type="dxa" w:w="1701"/>
          </w:tcPr>
          <w:p>
            <w:r>
              <w:rPr>
                <w:rFonts w:ascii="Aptos" w:hAnsi="Aptos"/>
                <w:sz w:val="20"/>
              </w:rPr>
              <w:t>+1.8</w:t>
            </w:r>
          </w:p>
        </w:tc>
      </w:tr>
      <w:tr>
        <w:tc>
          <w:tcPr>
            <w:tcW w:type="dxa" w:w="3118"/>
          </w:tcPr>
          <w:p>
            <w:r>
              <w:rPr>
                <w:rFonts w:ascii="Aptos" w:hAnsi="Aptos"/>
                <w:sz w:val="20"/>
              </w:rPr>
              <w:t>Apple Inc.</w:t>
            </w:r>
          </w:p>
        </w:tc>
        <w:tc>
          <w:tcPr>
            <w:tcW w:type="dxa" w:w="1701"/>
          </w:tcPr>
          <w:p>
            <w:r>
              <w:rPr>
                <w:rFonts w:ascii="Aptos" w:hAnsi="Aptos"/>
                <w:sz w:val="20"/>
              </w:rPr>
              <w:t>4.2</w:t>
            </w:r>
          </w:p>
        </w:tc>
        <w:tc>
          <w:tcPr>
            <w:tcW w:type="dxa" w:w="1984"/>
          </w:tcPr>
          <w:p>
            <w:r>
              <w:rPr>
                <w:rFonts w:ascii="Aptos" w:hAnsi="Aptos"/>
                <w:sz w:val="20"/>
              </w:rPr>
              <w:t>5.0</w:t>
            </w:r>
          </w:p>
        </w:tc>
        <w:tc>
          <w:tcPr>
            <w:tcW w:type="dxa" w:w="1701"/>
          </w:tcPr>
          <w:p>
            <w:r>
              <w:rPr>
                <w:rFonts w:ascii="Aptos" w:hAnsi="Aptos"/>
                <w:sz w:val="20"/>
              </w:rPr>
              <w:t>-0.8</w:t>
            </w:r>
          </w:p>
        </w:tc>
      </w:tr>
      <w:tr>
        <w:tc>
          <w:tcPr>
            <w:tcW w:type="dxa" w:w="3118"/>
          </w:tcPr>
          <w:p>
            <w:r>
              <w:rPr>
                <w:rFonts w:ascii="Aptos" w:hAnsi="Aptos"/>
                <w:sz w:val="20"/>
              </w:rPr>
              <w:t>FAST RETAILING CO., LTD.</w:t>
            </w:r>
          </w:p>
        </w:tc>
        <w:tc>
          <w:tcPr>
            <w:tcW w:type="dxa" w:w="1701"/>
          </w:tcPr>
          <w:p>
            <w:r>
              <w:rPr>
                <w:rFonts w:ascii="Aptos" w:hAnsi="Aptos"/>
                <w:sz w:val="20"/>
              </w:rPr>
              <w:t>1.9</w:t>
            </w:r>
          </w:p>
        </w:tc>
        <w:tc>
          <w:tcPr>
            <w:tcW w:type="dxa" w:w="1984"/>
          </w:tcPr>
          <w:p>
            <w:r>
              <w:rPr>
                <w:rFonts w:ascii="Aptos" w:hAnsi="Aptos"/>
                <w:sz w:val="20"/>
              </w:rPr>
              <w:t>0.1</w:t>
            </w:r>
          </w:p>
        </w:tc>
        <w:tc>
          <w:tcPr>
            <w:tcW w:type="dxa" w:w="1701"/>
          </w:tcPr>
          <w:p>
            <w:r>
              <w:rPr>
                <w:rFonts w:ascii="Aptos" w:hAnsi="Aptos"/>
                <w:sz w:val="20"/>
              </w:rPr>
              <w:t>+1.8</w:t>
            </w:r>
          </w:p>
        </w:tc>
      </w:tr>
      <w:tr>
        <w:tc>
          <w:tcPr>
            <w:tcW w:type="dxa" w:w="3118"/>
          </w:tcPr>
          <w:p>
            <w:r>
              <w:rPr>
                <w:rFonts w:ascii="Aptos" w:hAnsi="Aptos"/>
                <w:sz w:val="20"/>
              </w:rPr>
              <w:t>Howmet Aerospace Inc.</w:t>
            </w:r>
          </w:p>
        </w:tc>
        <w:tc>
          <w:tcPr>
            <w:tcW w:type="dxa" w:w="1701"/>
          </w:tcPr>
          <w:p>
            <w:r>
              <w:rPr>
                <w:rFonts w:ascii="Aptos" w:hAnsi="Aptos"/>
                <w:sz w:val="20"/>
              </w:rPr>
              <w:t>0.8</w:t>
            </w:r>
          </w:p>
        </w:tc>
        <w:tc>
          <w:tcPr>
            <w:tcW w:type="dxa" w:w="1984"/>
          </w:tcPr>
          <w:p>
            <w:r>
              <w:rPr>
                <w:rFonts w:ascii="Aptos" w:hAnsi="Aptos"/>
                <w:sz w:val="20"/>
              </w:rPr>
              <w:t>0.1</w:t>
            </w:r>
          </w:p>
        </w:tc>
        <w:tc>
          <w:tcPr>
            <w:tcW w:type="dxa" w:w="1701"/>
          </w:tcPr>
          <w:p>
            <w:r>
              <w:rPr>
                <w:rFonts w:ascii="Aptos" w:hAnsi="Aptos"/>
                <w:sz w:val="20"/>
              </w:rPr>
              <w:t>+0.7</w:t>
            </w:r>
          </w:p>
        </w:tc>
      </w:tr>
      <w:tr>
        <w:tc>
          <w:tcPr>
            <w:tcW w:type="dxa" w:w="3118"/>
          </w:tcPr>
          <w:p>
            <w:r>
              <w:rPr>
                <w:rFonts w:ascii="Aptos" w:hAnsi="Aptos"/>
                <w:sz w:val="20"/>
              </w:rPr>
              <w:t>Fanuc Corporation</w:t>
            </w:r>
          </w:p>
        </w:tc>
        <w:tc>
          <w:tcPr>
            <w:tcW w:type="dxa" w:w="1701"/>
          </w:tcPr>
          <w:p>
            <w:r>
              <w:rPr>
                <w:rFonts w:ascii="Aptos" w:hAnsi="Aptos"/>
                <w:sz w:val="20"/>
              </w:rPr>
              <w:t>1.6</w:t>
            </w:r>
          </w:p>
        </w:tc>
        <w:tc>
          <w:tcPr>
            <w:tcW w:type="dxa" w:w="1984"/>
          </w:tcPr>
          <w:p>
            <w:r>
              <w:rPr>
                <w:rFonts w:ascii="Aptos" w:hAnsi="Aptos"/>
                <w:sz w:val="20"/>
              </w:rPr>
              <w:t>0.0</w:t>
            </w:r>
          </w:p>
        </w:tc>
        <w:tc>
          <w:tcPr>
            <w:tcW w:type="dxa" w:w="1701"/>
          </w:tcPr>
          <w:p>
            <w:r>
              <w:rPr>
                <w:rFonts w:ascii="Aptos" w:hAnsi="Aptos"/>
                <w:sz w:val="20"/>
              </w:rPr>
              <w:t>+1.6</w:t>
            </w:r>
          </w:p>
        </w:tc>
      </w:tr>
      <w:tr>
        <w:tc>
          <w:tcPr>
            <w:tcW w:type="dxa" w:w="3118"/>
          </w:tcPr>
          <w:p>
            <w:r>
              <w:rPr>
                <w:rFonts w:ascii="Aptos" w:hAnsi="Aptos"/>
                <w:sz w:val="20"/>
              </w:rPr>
              <w:t>Cummins Inc.</w:t>
            </w:r>
          </w:p>
        </w:tc>
        <w:tc>
          <w:tcPr>
            <w:tcW w:type="dxa" w:w="1701"/>
          </w:tcPr>
          <w:p>
            <w:r>
              <w:rPr>
                <w:rFonts w:ascii="Aptos" w:hAnsi="Aptos"/>
                <w:sz w:val="20"/>
              </w:rPr>
              <w:t>3.0</w:t>
            </w:r>
          </w:p>
        </w:tc>
        <w:tc>
          <w:tcPr>
            <w:tcW w:type="dxa" w:w="1984"/>
          </w:tcPr>
          <w:p>
            <w:r>
              <w:rPr>
                <w:rFonts w:ascii="Aptos" w:hAnsi="Aptos"/>
                <w:sz w:val="20"/>
              </w:rPr>
              <w:t>0.1</w:t>
            </w:r>
          </w:p>
        </w:tc>
        <w:tc>
          <w:tcPr>
            <w:tcW w:type="dxa" w:w="1701"/>
          </w:tcPr>
          <w:p>
            <w:r>
              <w:rPr>
                <w:rFonts w:ascii="Aptos" w:hAnsi="Aptos"/>
                <w:sz w:val="20"/>
              </w:rPr>
              <w:t>+2.9</w:t>
            </w:r>
          </w:p>
        </w:tc>
      </w:tr>
      <w:tr>
        <w:tc>
          <w:tcPr>
            <w:tcW w:type="dxa" w:w="3118"/>
          </w:tcPr>
          <w:p>
            <w:r>
              <w:rPr>
                <w:rFonts w:ascii="Aptos" w:hAnsi="Aptos"/>
                <w:sz w:val="20"/>
              </w:rPr>
              <w:t>Applied Materials, Inc.</w:t>
            </w:r>
          </w:p>
        </w:tc>
        <w:tc>
          <w:tcPr>
            <w:tcW w:type="dxa" w:w="1701"/>
          </w:tcPr>
          <w:p>
            <w:r>
              <w:rPr>
                <w:rFonts w:ascii="Aptos" w:hAnsi="Aptos"/>
                <w:sz w:val="20"/>
              </w:rPr>
              <w:t>4.0</w:t>
            </w:r>
          </w:p>
        </w:tc>
        <w:tc>
          <w:tcPr>
            <w:tcW w:type="dxa" w:w="1984"/>
          </w:tcPr>
          <w:p>
            <w:r>
              <w:rPr>
                <w:rFonts w:ascii="Aptos" w:hAnsi="Aptos"/>
                <w:sz w:val="20"/>
              </w:rPr>
              <w:t>0.4</w:t>
            </w:r>
          </w:p>
        </w:tc>
        <w:tc>
          <w:tcPr>
            <w:tcW w:type="dxa" w:w="1701"/>
          </w:tcPr>
          <w:p>
            <w:r>
              <w:rPr>
                <w:rFonts w:ascii="Aptos" w:hAnsi="Aptos"/>
                <w:sz w:val="20"/>
              </w:rPr>
              <w:t>+3.5</w:t>
            </w:r>
          </w:p>
        </w:tc>
      </w:tr>
    </w:tbl>
    <w:p/>
    <w:p>
      <w:pPr>
        <w:pStyle w:val="Heading1"/>
      </w:pPr>
      <w:r>
        <w:rPr>
          <w:rFonts w:ascii="Aptos" w:hAnsi="Aptos"/>
          <w:color w:val="1A2E3B"/>
        </w:rPr>
        <w:t>Macro drivers</w:t>
      </w:r>
    </w:p>
    <w:p>
      <w:pPr>
        <w:pStyle w:val="ListBullet"/>
      </w:pPr>
      <w:r>
        <w:rPr>
          <w:rFonts w:ascii="Aptos" w:hAnsi="Aptos"/>
          <w:b/>
        </w:rPr>
        <w:t>Interest rates: US Fed funds rate held at 4.25%-4.50%</w:t>
      </w:r>
    </w:p>
    <w:p>
      <w:pPr>
        <w:ind w:left="340"/>
      </w:pPr>
      <w:r>
        <w:rPr>
          <w:rFonts w:ascii="Aptos" w:hAnsi="Aptos"/>
          <w:sz w:val="21"/>
        </w:rPr>
        <w:t>The Federal Reserve held rates steady for a third consecutive meeting, with commentary continuing to lean on incoming inflation data before signalling any cutting cycle. This kept discount rate assumptions for growth-oriented sectors broadly stable over the month.</w:t>
      </w:r>
    </w:p>
    <w:p>
      <w:pPr>
        <w:pStyle w:val="ListBullet"/>
      </w:pPr>
      <w:r>
        <w:rPr>
          <w:rFonts w:ascii="Aptos" w:hAnsi="Aptos"/>
          <w:b/>
        </w:rPr>
        <w:t>FX: NZD/USD ended the month at 0.585, down 1.2%</w:t>
      </w:r>
    </w:p>
    <w:p>
      <w:pPr>
        <w:ind w:left="340"/>
      </w:pPr>
      <w:r>
        <w:rPr>
          <w:rFonts w:ascii="Aptos" w:hAnsi="Aptos"/>
          <w:sz w:val="21"/>
        </w:rPr>
        <w:t>A softer New Zealand dollar over the month added a modest tailwind to unhedged offshore returns for New Zealand-based investors, contributing roughly 1.2 percentage points of the fund's total return in NZD terms.</w:t>
      </w:r>
    </w:p>
    <w:p>
      <w:pPr>
        <w:pStyle w:val="ListBullet"/>
      </w:pPr>
      <w:r>
        <w:rPr>
          <w:rFonts w:ascii="Aptos" w:hAnsi="Aptos"/>
          <w:b/>
        </w:rPr>
        <w:t>Bond yields: US 10-year Treasury yield eased 8bps to 4.21%</w:t>
      </w:r>
    </w:p>
    <w:p>
      <w:pPr>
        <w:ind w:left="340"/>
      </w:pPr>
      <w:r>
        <w:rPr>
          <w:rFonts w:ascii="Aptos" w:hAnsi="Aptos"/>
          <w:sz w:val="21"/>
        </w:rPr>
        <w:t>A modest pullback in long-dated yields provided some relief for higher duration growth names, part of the same rally in the technology sector that the fund's underweight position there missed most of.</w:t>
      </w:r>
    </w:p>
    <w:p>
      <w:pPr>
        <w:pStyle w:val="ListBullet"/>
      </w:pPr>
      <w:r>
        <w:rPr>
          <w:rFonts w:ascii="Aptos" w:hAnsi="Aptos"/>
          <w:b/>
        </w:rPr>
        <w:t>Geopolitical events: Ongoing trade policy discussions between major economies</w:t>
      </w:r>
    </w:p>
    <w:p>
      <w:pPr>
        <w:ind w:left="340"/>
      </w:pPr>
      <w:r>
        <w:rPr>
          <w:rFonts w:ascii="Aptos" w:hAnsi="Aptos"/>
          <w:sz w:val="21"/>
        </w:rPr>
        <w:t>Continued uncertainty around trade policy kept volatility elevated in cyclical sectors, particularly industrials and energy, though broad market impact was contained over the period.</w:t>
      </w:r>
    </w:p>
    <w:p>
      <w:pPr>
        <w:pStyle w:val="Heading1"/>
      </w:pPr>
      <w:r>
        <w:rPr>
          <w:rFonts w:ascii="Aptos" w:hAnsi="Aptos"/>
          <w:color w:val="1A2E3B"/>
        </w:rPr>
        <w:t>Market reactions</w:t>
      </w:r>
    </w:p>
    <w:p>
      <w:r>
        <w:rPr>
          <w:rFonts w:ascii="Aptos" w:hAnsi="Aptos"/>
          <w:color w:val="555555"/>
          <w:sz w:val="19"/>
        </w:rPr>
        <w:t>How the market responded to disclosures by the companies and funds held.</w:t>
      </w:r>
    </w:p>
    <w:p>
      <w:r>
        <w:rPr>
          <w:rFonts w:ascii="Aptos" w:hAnsi="Aptos"/>
          <w:b/>
          <w:color w:val="1A2E3B"/>
        </w:rPr>
        <w:t>Microsoft</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Little market reaction</w:t>
      </w:r>
    </w:p>
    <w:p>
      <w:pPr>
        <w:ind w:left="340"/>
      </w:pPr>
      <w:r>
        <w:rPr>
          <w:rFonts w:ascii="Aptos" w:hAnsi="Aptos"/>
          <w:sz w:val="21"/>
        </w:rPr>
        <w:t>Microsoft's major fiscal fourth-quarter results, released on 29 July 2026, fell just outside the reporting month, and the searches turned up no significant company announcement or disclosure during 1 to 31 August 2026 that produced a comparable market reaction. The one item published in the window, on 5 August 2026, was a disclosure that Microsoft generated most of its artificial intelligence revenue from OpenAI, having recorded $24.1 billion in sales from the AI firm during the year ended in June, according to a filing, but the search results contained no reporting on a same-day share price reaction or analyst commentary tied specifically to this disclosure. Beyond that filing, no other Microsoft-specific results, guidance updates or market-moving announcements dated within the month ended 31 August 2026 appeared in the search results.</w:t>
      </w:r>
    </w:p>
    <w:p>
      <w:r>
        <w:rPr>
          <w:rFonts w:ascii="Aptos" w:hAnsi="Aptos"/>
          <w:b/>
          <w:color w:val="1A2E3B"/>
        </w:rPr>
        <w:t>ASML Holding</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Little market reaction</w:t>
      </w:r>
    </w:p>
    <w:p>
      <w:pPr>
        <w:ind w:left="340"/>
      </w:pPr>
      <w:r>
        <w:rPr>
          <w:rFonts w:ascii="Aptos" w:hAnsi="Aptos"/>
          <w:sz w:val="21"/>
        </w:rPr>
        <w:t>Searches covering the month ended 31 August 2026 did not surface any ASML financial results, earnings release or major corporate announcement published within that window, nor any associated share price reaction or analyst commentary for that specific period. The company's most recent quarterly results were published on 15 July 2026, before the period in question, when ASML lifted its annual sales forecast for the second time this year and said net sales would grow to between €43 billion and €45 billion, above the average analyst estimate of €39.3 billion. The only scheduled corporate action falling inside the window was a routine interim dividend of €1.88 per ordinary share, payable on 5 August 2026, which is not a market-moving disclosure. No other ASML-specific results or announcements, nor related share price or analyst reaction, could be found for the month ended 31 August 2026.</w:t>
      </w:r>
    </w:p>
    <w:p>
      <w:r>
        <w:rPr>
          <w:rFonts w:ascii="Aptos" w:hAnsi="Aptos"/>
          <w:b/>
          <w:color w:val="1A2E3B"/>
        </w:rPr>
        <w:t>Novo Nordisk</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Mixed reception</w:t>
      </w:r>
    </w:p>
    <w:p>
      <w:pPr>
        <w:ind w:left="340"/>
      </w:pPr>
      <w:r>
        <w:rPr>
          <w:rFonts w:ascii="Aptos" w:hAnsi="Aptos"/>
          <w:sz w:val="21"/>
        </w:rPr>
        <w:t>During the month, Novo Nordisk published its half-year and Q2 2026 results on 4 August 2026, reporting adjusted sales and adjusted operating profit for the second quarter of 2026 and raised 2026 full-year adjusted sales and adjusted operating profit outlook at CER, with Q2 2026 adjusted sales increasing by 7% at CER and adjusted operating profit increasing by 11% at CER. The result also included DKK 6.3 billion of non-recurring, non-cash impairment charges in Q2 2026 related to intangible pipeline assets, including monlunabant. Despite the raised guidance, Bloomberg reported that even though Novo Nordisk raised its outlook that week, the Danish drugmaker's latest earnings report did little to upend the investor perception that the company is struggling against rival Eli Lilly, indicating the market's response to the announcement was subdued rather than positive. No specific intraday share price percentage move for the results day was found in the search results.</w:t>
      </w:r>
    </w:p>
    <w:p>
      <w:pPr>
        <w:pStyle w:val="Heading1"/>
      </w:pPr>
      <w:r>
        <w:rPr>
          <w:rFonts w:ascii="Aptos" w:hAnsi="Aptos"/>
          <w:color w:val="1A2E3B"/>
        </w:rPr>
        <w:t>Commentary</w:t>
      </w:r>
    </w:p>
    <w:p>
      <w:pPr>
        <w:pStyle w:val="Heading2"/>
      </w:pPr>
      <w:r>
        <w:rPr>
          <w:rFonts w:ascii="Aptos" w:hAnsi="Aptos"/>
          <w:color w:val="1A2E3B"/>
        </w:rPr>
        <w:t>Market commentary</w:t>
      </w:r>
      <w:r>
        <w:rPr>
          <w:rFonts w:ascii="Aptos" w:hAnsi="Aptos"/>
          <w:b w:val="0"/>
          <w:i/>
          <w:color w:val="2E6B5E"/>
          <w:sz w:val="16"/>
        </w:rPr>
        <w:t xml:space="preserve">  [AI-drafted]</w:t>
      </w:r>
    </w:p>
    <w:p>
      <w:r>
        <w:rPr>
          <w:rFonts w:ascii="Aptos" w:hAnsi="Aptos"/>
        </w:rPr>
        <w:t>Global equities extended their record run in August 2026, with the S&amp;P 500 pushing to further all-time highs on the back of AI-linked corporate earnings, and a rally that stayed heavily concentrated in a handful of mega-cap technology names. Technology stocks rallied on a blockbuster outlook from Nvidia, lifting key equity indexes, while every other sector in the US stock market fell, with the S&amp;P 500 ending the session 0.7% higher. That pattern, where the equal-weight version of the benchmark declined even as the headline index rose, reflecting the number of stocks falling despite tech's strength, was echoed in mid-month strength too: the tech rally lifted the S&amp;P 500 even as most of its shares fell, with the nearly 9% surge in the giant chipmaker adding $442 billion to its market value. A commentary from the ECB flagged the broader risk in this dynamic, noting that the dominance of the Mag7 on widely held global indices such as MSCI World carries significant risks for euro area investors given how concentrated the gains had become. Against that backdrop, a fund with meaningful exposure outside the small group of AI-driven mega-caps would have captured a smaller share of the benchmark's headline gain over the month, consistent with the fund's 1.14% return trailing the benchmark's 2.58%, even as its longer 1-year and since-inception numbers (14.20% versus 12.70%, and 9.80% versus 8.90%) show it ahead of the index over periods less dominated by that single narrow rally.</w:t>
      </w:r>
    </w:p>
    <w:p>
      <w:pPr>
        <w:pStyle w:val="Heading2"/>
      </w:pPr>
      <w:r>
        <w:rPr>
          <w:rFonts w:ascii="Aptos" w:hAnsi="Aptos"/>
          <w:color w:val="1A2E3B"/>
        </w:rPr>
        <w:t>Attribution commentary</w:t>
      </w:r>
      <w:r>
        <w:rPr>
          <w:rFonts w:ascii="Aptos" w:hAnsi="Aptos"/>
          <w:b w:val="0"/>
          <w:i/>
          <w:color w:val="2E6B5E"/>
          <w:sz w:val="16"/>
        </w:rPr>
        <w:t xml:space="preserve">  [AI-drafted]</w:t>
      </w:r>
    </w:p>
    <w:p>
      <w:r>
        <w:rPr>
          <w:rFonts w:ascii="Aptos" w:hAnsi="Aptos"/>
        </w:rPr>
        <w:t>Global Equity Fund's largest single detractor over the month, Information Technology (-0.83%), coincided with a powerful tech-led rally in the broader market after Nvidia's results on 27 August 2026, when technology stocks rallied on a blockbuster outlook from Nvidia Corp. lifting key equity indexes, while every other sector in the US stock market fell. The scale of that move was significant: a blockbuster outlook from Nvidia Corp. spurred gains in technology stocks, bolstering confidence in the artificial-intelligence trade, with the nearly 9% surge in the giant chipmaker adding $442 billion to its market value after the company said revenue will grow about 70% in the next fiscal year, a move that left the fund's positioning in the sector well behind the benchmark's advance. Industrials (-0.58%) also detracted against a backdrop in which AI hardware continued to drive August's increase in import prices, commodity-price volatility from the Iran war raised the cost of industrial materials at the border, and companies faced higher input costs and rising expenses tied to the AI buildout, a cost environment that weighed on cyclical, import-exposed businesses. Energy (-0.09%) was a smaller but consistent drag as crude continued its slide through the month, with commentary in early August noting that 150-plus days since the Iran war started, West Texas Intermediate crude was hovering at about $75 a barrel, down 35% from its conflict peak, prompting majors to brace for softer prices. Against these larger detractors, the positive effects from Utilities, Financials, Real Estate, Health Care and Materials were comparatively modest in scale and were not tied to a single dominant sector-wide news theme evident in the month's coverage, leaving Information Technology, Industrials and Consumer Discretionary as the dominant drags on relative performance for the period.</w:t>
      </w:r>
    </w:p>
    <w:p>
      <w:pPr>
        <w:pStyle w:val="Heading2"/>
      </w:pPr>
      <w:r>
        <w:rPr>
          <w:rFonts w:ascii="Aptos" w:hAnsi="Aptos"/>
          <w:color w:val="1A2E3B"/>
        </w:rPr>
        <w:t>Outlook</w:t>
      </w:r>
      <w:r>
        <w:rPr>
          <w:rFonts w:ascii="Aptos" w:hAnsi="Aptos"/>
          <w:b w:val="0"/>
          <w:i/>
          <w:color w:val="2E6B5E"/>
          <w:sz w:val="16"/>
        </w:rPr>
        <w:t xml:space="preserve">  [AI-drafted]</w:t>
      </w:r>
    </w:p>
    <w:p>
      <w:r>
        <w:rPr>
          <w:rFonts w:ascii="Aptos" w:hAnsi="Aptos"/>
        </w:rPr>
        <w:t>Analyst earnings forecasts compiled by Bloomberg Intelligence pointed to a broadening of growth beyond technology into 2026, with all other major sectors except communications set for faster growth than in 2025, discretionary flipping from a 5.4% contraction to 16.8% growth, staples, financials, health care and industrial earnings growth accelerating, energy's decline moderating and materials holding steady, while communications lagged because of US tech-adjacent giants Alphabet and Meta, a backdrop that lines up with the fund's overweights in financials, industrials and health care and its underweight in communication services. Within technology, Goldman Sachs strategists led by Peter Oppenheimer argued in April that the sector had become "increasingly attractive" as its valuation, relative to expected consensus growth, had fallen below that of the global aggregate market, even as UBS's Arend Kapteyn noted that tech was still driving roughly 60% of global equity returns from about 30% of index weight, a concentration risk consistent with the fund's underweight there. Energy markets stayed a live source of uncertainty, with Kapteyn warning that depleted energy inventories could see prices "begin to move exponentially" once panic buying set in, while European defence and infrastructure spending, reaffirmed at the July 2026 NATO summit's commitment to spending 5% of GDP annually by 2035, continued to underpin industrial order books, consistent with the fund's overweight positions in energy and industrials. On policy, the Federal Reserve held its target range at 3-1/2 to 3-3/4% at its July meeting, noting that economic activity was expanding at a solid pace despite elevated uncertainty tied to the Middle East conflict, while inflation remained elevated relative to the 2% goal in part reflecting supply shocks in sectors including energy, and Wall Street forecasters at Morgan Stanley, JPMorgan and Goldman Sachs subsequently said in September that any declines driven by expected Fed tightening were likely to be short-lived given healthy company profits. That combination of a resilient rate backdrop and lingering inflation risk was broadly consistent with the fund's modest cash buffer and underweights in rate-sensitive utilities and real estate.</w:t>
      </w:r>
    </w:p>
    <w:p>
      <w:pPr>
        <w:pStyle w:val="Heading2"/>
      </w:pPr>
      <w:r>
        <w:rPr>
          <w:rFonts w:ascii="Aptos" w:hAnsi="Aptos"/>
          <w:color w:val="1A2E3B"/>
        </w:rPr>
        <w:t>AI use and human review</w:t>
      </w:r>
    </w:p>
    <w:p>
      <w:r>
        <w:rPr>
          <w:rFonts w:ascii="Aptos" w:hAnsi="Aptos"/>
          <w:color w:val="555555"/>
          <w:sz w:val="17"/>
        </w:rPr>
        <w:t>This report was assembled by an automated reporting system and is a draft until a person approves it. Nothing produced here reaches a reader on the system's own say-so.</w:t>
      </w:r>
    </w:p>
    <w:p>
      <w:r>
        <w:rPr>
          <w:rFonts w:ascii="Aptos" w:hAnsi="Aptos"/>
          <w:color w:val="555555"/>
          <w:sz w:val="17"/>
        </w:rPr>
        <w:t>The passages marked AI-drafted were written by a language model from sources recorded against this report, which the reviewer reads beside the text before approving it. The model is never asked what the fund returned — every figure in the tables came from the manager's own data — and a model-written passage citing no source is blocked from approval rather than published with a caveat.</w:t>
      </w:r>
    </w:p>
    <w:p>
      <w:r>
        <w:rPr>
          <w:rFonts w:ascii="Aptos" w:hAnsi="Aptos"/>
          <w:color w:val="555555"/>
          <w:sz w:val="17"/>
        </w:rPr>
        <w:t>Before this report is issued, a reviewer reads the draft, signs off one by one on any source found outside the approved list, and records the approval against their own name. What was changed, by whom, and when is kept with the report.</w:t>
      </w:r>
    </w:p>
    <w:p>
      <w:r>
        <w:rPr>
          <w:i/>
          <w:color w:val="808080"/>
          <w:sz w:val="17"/>
        </w:rPr>
        <w:t>Draft generated 2026-09-02 — For internal review only, not for distribution.</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