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512000" cy="350206"/>
            <wp:docPr id="1" name="Picture 1"/>
            <wp:cNvGraphicFramePr>
              <a:graphicFrameLocks noChangeAspect="1"/>
            </wp:cNvGraphicFramePr>
            <a:graphic>
              <a:graphicData uri="http://schemas.openxmlformats.org/drawingml/2006/picture">
                <pic:pic>
                  <pic:nvPicPr>
                    <pic:cNvPr id="0" name="logo.png"/>
                    <pic:cNvPicPr/>
                  </pic:nvPicPr>
                  <pic:blipFill>
                    <a:blip r:embed="rId9"/>
                    <a:stretch>
                      <a:fillRect/>
                    </a:stretch>
                  </pic:blipFill>
                  <pic:spPr>
                    <a:xfrm>
                      <a:off x="0" y="0"/>
                      <a:ext cx="1512000" cy="350206"/>
                    </a:xfrm>
                    <a:prstGeom prst="rect"/>
                  </pic:spPr>
                </pic:pic>
              </a:graphicData>
            </a:graphic>
          </wp:inline>
        </w:drawing>
      </w:r>
    </w:p>
    <w:p>
      <w:pPr>
        <w:pStyle w:val="Title"/>
      </w:pPr>
      <w:r>
        <w:rPr>
          <w:rFonts w:ascii="Aptos" w:hAnsi="Aptos"/>
          <w:color w:val="1A2E3B"/>
        </w:rPr>
        <w:t>Global Equity Fund</w:t>
      </w:r>
    </w:p>
    <w:p>
      <w:r>
        <w:rPr>
          <w:rFonts w:ascii="Aptos" w:hAnsi="Aptos"/>
          <w:color w:val="2E6B5E"/>
          <w:sz w:val="22"/>
        </w:rPr>
        <w:t>Super Amazing Fund Management  |  1 July 2026 to 31 August 2026</w:t>
      </w:r>
    </w:p>
    <w:p>
      <w:r>
        <w:rPr>
          <w:rFonts w:ascii="Aptos" w:hAnsi="Aptos"/>
          <w:i/>
          <w:sz w:val="20"/>
        </w:rPr>
        <w:t>Benchmark: MSCI World Index (NZD, unhedged)</w:t>
      </w:r>
    </w:p>
    <w:p>
      <w:r>
        <w:rPr>
          <w:rFonts w:ascii="Aptos" w:hAnsi="Aptos"/>
          <w:b/>
          <w:color w:val="1A2E3B"/>
          <w:sz w:val="19"/>
        </w:rPr>
        <w:t>About this report</w:t>
      </w:r>
    </w:p>
    <w:p>
      <w:pPr>
        <w:pStyle w:val="ListBullet"/>
        <w:ind w:left="454"/>
      </w:pPr>
      <w:r>
        <w:rPr>
          <w:rFonts w:ascii="Aptos" w:hAnsi="Aptos"/>
          <w:color w:val="6B541B"/>
          <w:sz w:val="19"/>
        </w:rPr>
        <w:t>The figures in this report are fixed placeholder data and do not vary by period. Changing the reporting dates changes what the report says it covers, not the numbers in it.</w:t>
      </w:r>
    </w:p>
    <w:p/>
    <w:p>
      <w:pPr>
        <w:pStyle w:val="Heading1"/>
      </w:pPr>
      <w:r>
        <w:rPr>
          <w:rFonts w:ascii="Aptos" w:hAnsi="Aptos"/>
          <w:color w:val="1A2E3B"/>
        </w:rPr>
        <w:t>Fund returns</w:t>
      </w:r>
    </w:p>
    <w:p>
      <w:r>
        <w:drawing>
          <wp:inline xmlns:a="http://schemas.openxmlformats.org/drawingml/2006/main" xmlns:pic="http://schemas.openxmlformats.org/drawingml/2006/picture">
            <wp:extent cx="5760000" cy="2194286"/>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760000" cy="2194286"/>
                    </a:xfrm>
                    <a:prstGeom prst="rect"/>
                  </pic:spPr>
                </pic:pic>
              </a:graphicData>
            </a:graphic>
          </wp:inline>
        </w:drawing>
      </w:r>
    </w:p>
    <w:tbl>
      <w:tblGrid>
        <w:gridCol w:w="2551"/>
        <w:gridCol w:w="1701"/>
        <w:gridCol w:w="1984"/>
        <w:gridCol w:w="1701"/>
      </w:tblGrid>
      <w:tblPr>
        <w:tblW w:type="auto" w:w="0"/>
        <w:jc w:val="left"/>
        <w:tblLayout w:type="fixed"/>
        <w:tblLook w:firstColumn="1" w:firstRow="1" w:lastColumn="0" w:lastRow="0" w:noHBand="0" w:noVBand="1" w:val="04A0"/>
      </w:tblPr>
      <w:tr>
        <w:tc>
          <w:tcPr>
            <w:tcW w:type="dxa" w:w="2551"/>
            <w:shd w:val="clear" w:color="auto" w:fill="E8EEEC"/>
          </w:tcPr>
          <w:p>
            <w:pPr>
              <w:jc w:val="left"/>
            </w:pPr>
            <w:r>
              <w:rPr>
                <w:rFonts w:ascii="Aptos" w:hAnsi="Aptos"/>
                <w:b/>
                <w:color w:val="1A2E3B"/>
                <w:sz w:val="20"/>
              </w:rPr>
              <w:t>Period</w:t>
            </w:r>
          </w:p>
        </w:tc>
        <w:tc>
          <w:tcPr>
            <w:tcW w:type="dxa" w:w="1701"/>
            <w:shd w:val="clear" w:color="auto" w:fill="E8EEEC"/>
          </w:tcPr>
          <w:p>
            <w:pPr>
              <w:jc w:val="left"/>
            </w:pPr>
            <w:r>
              <w:rPr>
                <w:rFonts w:ascii="Aptos" w:hAnsi="Aptos"/>
                <w:b/>
                <w:color w:val="1A2E3B"/>
                <w:sz w:val="20"/>
              </w:rPr>
              <w:t>Fund (%)</w:t>
            </w:r>
          </w:p>
        </w:tc>
        <w:tc>
          <w:tcPr>
            <w:tcW w:type="dxa" w:w="1984"/>
            <w:shd w:val="clear" w:color="auto" w:fill="E8EEEC"/>
          </w:tcPr>
          <w:p>
            <w:pPr>
              <w:jc w:val="left"/>
            </w:pPr>
            <w:r>
              <w:rPr>
                <w:rFonts w:ascii="Aptos" w:hAnsi="Aptos"/>
                <w:b/>
                <w:color w:val="1A2E3B"/>
                <w:sz w:val="20"/>
              </w:rPr>
              <w:t>Benchmark (%)</w:t>
            </w:r>
          </w:p>
        </w:tc>
        <w:tc>
          <w:tcPr>
            <w:tcW w:type="dxa" w:w="1701"/>
            <w:shd w:val="clear" w:color="auto" w:fill="E8EEEC"/>
          </w:tcPr>
          <w:p>
            <w:pPr>
              <w:jc w:val="left"/>
            </w:pPr>
            <w:r>
              <w:rPr>
                <w:rFonts w:ascii="Aptos" w:hAnsi="Aptos"/>
                <w:b/>
                <w:color w:val="1A2E3B"/>
                <w:sz w:val="20"/>
              </w:rPr>
              <w:t>Excess (%)</w:t>
            </w:r>
          </w:p>
        </w:tc>
      </w:tr>
      <w:tr>
        <w:tc>
          <w:tcPr>
            <w:tcW w:type="dxa" w:w="2551"/>
          </w:tcPr>
          <w:p>
            <w:r>
              <w:rPr>
                <w:rFonts w:ascii="Aptos" w:hAnsi="Aptos"/>
                <w:sz w:val="20"/>
              </w:rPr>
              <w:t>1 Month</w:t>
            </w:r>
          </w:p>
        </w:tc>
        <w:tc>
          <w:tcPr>
            <w:tcW w:type="dxa" w:w="1701"/>
          </w:tcPr>
          <w:p>
            <w:r>
              <w:rPr>
                <w:rFonts w:ascii="Aptos" w:hAnsi="Aptos"/>
                <w:sz w:val="20"/>
              </w:rPr>
              <w:t>+2.10</w:t>
            </w:r>
          </w:p>
        </w:tc>
        <w:tc>
          <w:tcPr>
            <w:tcW w:type="dxa" w:w="1984"/>
          </w:tcPr>
          <w:p>
            <w:r>
              <w:rPr>
                <w:rFonts w:ascii="Aptos" w:hAnsi="Aptos"/>
                <w:sz w:val="20"/>
              </w:rPr>
              <w:t>+1.80</w:t>
            </w:r>
          </w:p>
        </w:tc>
        <w:tc>
          <w:tcPr>
            <w:tcW w:type="dxa" w:w="1701"/>
          </w:tcPr>
          <w:p>
            <w:r>
              <w:rPr>
                <w:rFonts w:ascii="Aptos" w:hAnsi="Aptos"/>
                <w:sz w:val="20"/>
              </w:rPr>
              <w:t>+0.30</w:t>
            </w:r>
          </w:p>
        </w:tc>
      </w:tr>
      <w:tr>
        <w:tc>
          <w:tcPr>
            <w:tcW w:type="dxa" w:w="2551"/>
          </w:tcPr>
          <w:p>
            <w:r>
              <w:rPr>
                <w:rFonts w:ascii="Aptos" w:hAnsi="Aptos"/>
                <w:sz w:val="20"/>
              </w:rPr>
              <w:t>3 Months</w:t>
            </w:r>
          </w:p>
        </w:tc>
        <w:tc>
          <w:tcPr>
            <w:tcW w:type="dxa" w:w="1701"/>
          </w:tcPr>
          <w:p>
            <w:r>
              <w:rPr>
                <w:rFonts w:ascii="Aptos" w:hAnsi="Aptos"/>
                <w:sz w:val="20"/>
              </w:rPr>
              <w:t>+4.60</w:t>
            </w:r>
          </w:p>
        </w:tc>
        <w:tc>
          <w:tcPr>
            <w:tcW w:type="dxa" w:w="1984"/>
          </w:tcPr>
          <w:p>
            <w:r>
              <w:rPr>
                <w:rFonts w:ascii="Aptos" w:hAnsi="Aptos"/>
                <w:sz w:val="20"/>
              </w:rPr>
              <w:t>+4.90</w:t>
            </w:r>
          </w:p>
        </w:tc>
        <w:tc>
          <w:tcPr>
            <w:tcW w:type="dxa" w:w="1701"/>
          </w:tcPr>
          <w:p>
            <w:r>
              <w:rPr>
                <w:rFonts w:ascii="Aptos" w:hAnsi="Aptos"/>
                <w:sz w:val="20"/>
              </w:rPr>
              <w:t>-0.30</w:t>
            </w:r>
          </w:p>
        </w:tc>
      </w:tr>
      <w:tr>
        <w:tc>
          <w:tcPr>
            <w:tcW w:type="dxa" w:w="2551"/>
          </w:tcPr>
          <w:p>
            <w:r>
              <w:rPr>
                <w:rFonts w:ascii="Aptos" w:hAnsi="Aptos"/>
                <w:sz w:val="20"/>
              </w:rPr>
              <w:t>1 Year</w:t>
            </w:r>
          </w:p>
        </w:tc>
        <w:tc>
          <w:tcPr>
            <w:tcW w:type="dxa" w:w="1701"/>
          </w:tcPr>
          <w:p>
            <w:r>
              <w:rPr>
                <w:rFonts w:ascii="Aptos" w:hAnsi="Aptos"/>
                <w:sz w:val="20"/>
              </w:rPr>
              <w:t>+14.20</w:t>
            </w:r>
          </w:p>
        </w:tc>
        <w:tc>
          <w:tcPr>
            <w:tcW w:type="dxa" w:w="1984"/>
          </w:tcPr>
          <w:p>
            <w:r>
              <w:rPr>
                <w:rFonts w:ascii="Aptos" w:hAnsi="Aptos"/>
                <w:sz w:val="20"/>
              </w:rPr>
              <w:t>+12.70</w:t>
            </w:r>
          </w:p>
        </w:tc>
        <w:tc>
          <w:tcPr>
            <w:tcW w:type="dxa" w:w="1701"/>
          </w:tcPr>
          <w:p>
            <w:r>
              <w:rPr>
                <w:rFonts w:ascii="Aptos" w:hAnsi="Aptos"/>
                <w:sz w:val="20"/>
              </w:rPr>
              <w:t>+1.50</w:t>
            </w:r>
          </w:p>
        </w:tc>
      </w:tr>
      <w:tr>
        <w:tc>
          <w:tcPr>
            <w:tcW w:type="dxa" w:w="2551"/>
          </w:tcPr>
          <w:p>
            <w:r>
              <w:rPr>
                <w:rFonts w:ascii="Aptos" w:hAnsi="Aptos"/>
                <w:sz w:val="20"/>
              </w:rPr>
              <w:t>Since Inception</w:t>
            </w:r>
          </w:p>
        </w:tc>
        <w:tc>
          <w:tcPr>
            <w:tcW w:type="dxa" w:w="1701"/>
          </w:tcPr>
          <w:p>
            <w:r>
              <w:rPr>
                <w:rFonts w:ascii="Aptos" w:hAnsi="Aptos"/>
                <w:sz w:val="20"/>
              </w:rPr>
              <w:t>+9.80</w:t>
            </w:r>
          </w:p>
        </w:tc>
        <w:tc>
          <w:tcPr>
            <w:tcW w:type="dxa" w:w="1984"/>
          </w:tcPr>
          <w:p>
            <w:r>
              <w:rPr>
                <w:rFonts w:ascii="Aptos" w:hAnsi="Aptos"/>
                <w:sz w:val="20"/>
              </w:rPr>
              <w:t>+8.90</w:t>
            </w:r>
          </w:p>
        </w:tc>
        <w:tc>
          <w:tcPr>
            <w:tcW w:type="dxa" w:w="1701"/>
          </w:tcPr>
          <w:p>
            <w:r>
              <w:rPr>
                <w:rFonts w:ascii="Aptos" w:hAnsi="Aptos"/>
                <w:sz w:val="20"/>
              </w:rPr>
              <w:t>+0.90</w:t>
            </w:r>
          </w:p>
        </w:tc>
      </w:tr>
    </w:tbl>
    <w:p/>
    <w:p>
      <w:pPr>
        <w:pStyle w:val="Heading1"/>
      </w:pPr>
      <w:r>
        <w:rPr>
          <w:rFonts w:ascii="Aptos" w:hAnsi="Aptos"/>
          <w:color w:val="1A2E3B"/>
        </w:rPr>
        <w:t>Attribution</w:t>
      </w:r>
    </w:p>
    <w:p>
      <w:r>
        <w:t>Total attribution effect for the period: +0.49%</w:t>
      </w:r>
    </w:p>
    <w:tbl>
      <w:tblGrid>
        <w:gridCol w:w="3118"/>
        <w:gridCol w:w="1984"/>
        <w:gridCol w:w="1701"/>
        <w:gridCol w:w="1984"/>
      </w:tblGrid>
      <w:tblPr>
        <w:tblW w:type="auto" w:w="0"/>
        <w:jc w:val="left"/>
        <w:tblLayout w:type="fixed"/>
        <w:tblLook w:firstColumn="1" w:firstRow="1" w:lastColumn="0" w:lastRow="0" w:noHBand="0" w:noVBand="1" w:val="04A0"/>
      </w:tblPr>
      <w:tr>
        <w:tc>
          <w:tcPr>
            <w:tcW w:type="dxa" w:w="3118"/>
            <w:shd w:val="clear" w:color="auto" w:fill="E8EEEC"/>
          </w:tcPr>
          <w:p>
            <w:pPr>
              <w:jc w:val="left"/>
            </w:pPr>
            <w:r>
              <w:rPr>
                <w:rFonts w:ascii="Aptos" w:hAnsi="Aptos"/>
                <w:b/>
                <w:color w:val="1A2E3B"/>
                <w:sz w:val="20"/>
              </w:rPr>
              <w:t>Sector</w:t>
            </w:r>
          </w:p>
        </w:tc>
        <w:tc>
          <w:tcPr>
            <w:tcW w:type="dxa" w:w="1984"/>
            <w:shd w:val="clear" w:color="auto" w:fill="E8EEEC"/>
          </w:tcPr>
          <w:p>
            <w:pPr>
              <w:jc w:val="left"/>
            </w:pPr>
            <w:r>
              <w:rPr>
                <w:rFonts w:ascii="Aptos" w:hAnsi="Aptos"/>
                <w:b/>
                <w:color w:val="1A2E3B"/>
                <w:sz w:val="20"/>
              </w:rPr>
              <w:t>Allocation (%)</w:t>
            </w:r>
          </w:p>
        </w:tc>
        <w:tc>
          <w:tcPr>
            <w:tcW w:type="dxa" w:w="1701"/>
            <w:shd w:val="clear" w:color="auto" w:fill="E8EEEC"/>
          </w:tcPr>
          <w:p>
            <w:pPr>
              <w:jc w:val="left"/>
            </w:pPr>
            <w:r>
              <w:rPr>
                <w:rFonts w:ascii="Aptos" w:hAnsi="Aptos"/>
                <w:b/>
                <w:color w:val="1A2E3B"/>
                <w:sz w:val="20"/>
              </w:rPr>
              <w:t>Selection (%)</w:t>
            </w:r>
          </w:p>
        </w:tc>
        <w:tc>
          <w:tcPr>
            <w:tcW w:type="dxa" w:w="1984"/>
            <w:shd w:val="clear" w:color="auto" w:fill="E8EEEC"/>
          </w:tcPr>
          <w:p>
            <w:pPr>
              <w:jc w:val="left"/>
            </w:pPr>
            <w:r>
              <w:rPr>
                <w:rFonts w:ascii="Aptos" w:hAnsi="Aptos"/>
                <w:b/>
                <w:color w:val="1A2E3B"/>
                <w:sz w:val="20"/>
              </w:rPr>
              <w:t>Total effect (%)</w:t>
            </w:r>
          </w:p>
        </w:tc>
      </w:tr>
      <w:tr>
        <w:tc>
          <w:tcPr>
            <w:tcW w:type="dxa" w:w="3118"/>
          </w:tcPr>
          <w:p>
            <w:r>
              <w:rPr>
                <w:rFonts w:ascii="Aptos" w:hAnsi="Aptos"/>
                <w:sz w:val="20"/>
              </w:rPr>
              <w:t>Information Technology</w:t>
            </w:r>
          </w:p>
        </w:tc>
        <w:tc>
          <w:tcPr>
            <w:tcW w:type="dxa" w:w="1984"/>
          </w:tcPr>
          <w:p>
            <w:r>
              <w:rPr>
                <w:rFonts w:ascii="Aptos" w:hAnsi="Aptos"/>
                <w:sz w:val="20"/>
              </w:rPr>
              <w:t>+0.31</w:t>
            </w:r>
          </w:p>
        </w:tc>
        <w:tc>
          <w:tcPr>
            <w:tcW w:type="dxa" w:w="1701"/>
          </w:tcPr>
          <w:p>
            <w:r>
              <w:rPr>
                <w:rFonts w:ascii="Aptos" w:hAnsi="Aptos"/>
                <w:sz w:val="20"/>
              </w:rPr>
              <w:t>+0.18</w:t>
            </w:r>
          </w:p>
        </w:tc>
        <w:tc>
          <w:tcPr>
            <w:tcW w:type="dxa" w:w="1984"/>
          </w:tcPr>
          <w:p>
            <w:r>
              <w:rPr>
                <w:rFonts w:ascii="Aptos" w:hAnsi="Aptos"/>
                <w:sz w:val="20"/>
              </w:rPr>
              <w:t>+0.49</w:t>
            </w:r>
          </w:p>
        </w:tc>
      </w:tr>
      <w:tr>
        <w:tc>
          <w:tcPr>
            <w:tcW w:type="dxa" w:w="3118"/>
          </w:tcPr>
          <w:p>
            <w:r>
              <w:rPr>
                <w:rFonts w:ascii="Aptos" w:hAnsi="Aptos"/>
                <w:sz w:val="20"/>
              </w:rPr>
              <w:t>Health Care</w:t>
            </w:r>
          </w:p>
        </w:tc>
        <w:tc>
          <w:tcPr>
            <w:tcW w:type="dxa" w:w="1984"/>
          </w:tcPr>
          <w:p>
            <w:r>
              <w:rPr>
                <w:rFonts w:ascii="Aptos" w:hAnsi="Aptos"/>
                <w:sz w:val="20"/>
              </w:rPr>
              <w:t>+0.08</w:t>
            </w:r>
          </w:p>
        </w:tc>
        <w:tc>
          <w:tcPr>
            <w:tcW w:type="dxa" w:w="1701"/>
          </w:tcPr>
          <w:p>
            <w:r>
              <w:rPr>
                <w:rFonts w:ascii="Aptos" w:hAnsi="Aptos"/>
                <w:sz w:val="20"/>
              </w:rPr>
              <w:t>-0.05</w:t>
            </w:r>
          </w:p>
        </w:tc>
        <w:tc>
          <w:tcPr>
            <w:tcW w:type="dxa" w:w="1984"/>
          </w:tcPr>
          <w:p>
            <w:r>
              <w:rPr>
                <w:rFonts w:ascii="Aptos" w:hAnsi="Aptos"/>
                <w:sz w:val="20"/>
              </w:rPr>
              <w:t>+0.03</w:t>
            </w:r>
          </w:p>
        </w:tc>
      </w:tr>
      <w:tr>
        <w:tc>
          <w:tcPr>
            <w:tcW w:type="dxa" w:w="3118"/>
          </w:tcPr>
          <w:p>
            <w:r>
              <w:rPr>
                <w:rFonts w:ascii="Aptos" w:hAnsi="Aptos"/>
                <w:sz w:val="20"/>
              </w:rPr>
              <w:t>Financials</w:t>
            </w:r>
          </w:p>
        </w:tc>
        <w:tc>
          <w:tcPr>
            <w:tcW w:type="dxa" w:w="1984"/>
          </w:tcPr>
          <w:p>
            <w:r>
              <w:rPr>
                <w:rFonts w:ascii="Aptos" w:hAnsi="Aptos"/>
                <w:sz w:val="20"/>
              </w:rPr>
              <w:t>-0.06</w:t>
            </w:r>
          </w:p>
        </w:tc>
        <w:tc>
          <w:tcPr>
            <w:tcW w:type="dxa" w:w="1701"/>
          </w:tcPr>
          <w:p>
            <w:r>
              <w:rPr>
                <w:rFonts w:ascii="Aptos" w:hAnsi="Aptos"/>
                <w:sz w:val="20"/>
              </w:rPr>
              <w:t>+0.11</w:t>
            </w:r>
          </w:p>
        </w:tc>
        <w:tc>
          <w:tcPr>
            <w:tcW w:type="dxa" w:w="1984"/>
          </w:tcPr>
          <w:p>
            <w:r>
              <w:rPr>
                <w:rFonts w:ascii="Aptos" w:hAnsi="Aptos"/>
                <w:sz w:val="20"/>
              </w:rPr>
              <w:t>+0.05</w:t>
            </w:r>
          </w:p>
        </w:tc>
      </w:tr>
      <w:tr>
        <w:tc>
          <w:tcPr>
            <w:tcW w:type="dxa" w:w="3118"/>
          </w:tcPr>
          <w:p>
            <w:r>
              <w:rPr>
                <w:rFonts w:ascii="Aptos" w:hAnsi="Aptos"/>
                <w:sz w:val="20"/>
              </w:rPr>
              <w:t>Energy</w:t>
            </w:r>
          </w:p>
        </w:tc>
        <w:tc>
          <w:tcPr>
            <w:tcW w:type="dxa" w:w="1984"/>
          </w:tcPr>
          <w:p>
            <w:r>
              <w:rPr>
                <w:rFonts w:ascii="Aptos" w:hAnsi="Aptos"/>
                <w:sz w:val="20"/>
              </w:rPr>
              <w:t>-0.12</w:t>
            </w:r>
          </w:p>
        </w:tc>
        <w:tc>
          <w:tcPr>
            <w:tcW w:type="dxa" w:w="1701"/>
          </w:tcPr>
          <w:p>
            <w:r>
              <w:rPr>
                <w:rFonts w:ascii="Aptos" w:hAnsi="Aptos"/>
                <w:sz w:val="20"/>
              </w:rPr>
              <w:t>+0.02</w:t>
            </w:r>
          </w:p>
        </w:tc>
        <w:tc>
          <w:tcPr>
            <w:tcW w:type="dxa" w:w="1984"/>
          </w:tcPr>
          <w:p>
            <w:r>
              <w:rPr>
                <w:rFonts w:ascii="Aptos" w:hAnsi="Aptos"/>
                <w:sz w:val="20"/>
              </w:rPr>
              <w:t>-0.10</w:t>
            </w:r>
          </w:p>
        </w:tc>
      </w:tr>
      <w:tr>
        <w:tc>
          <w:tcPr>
            <w:tcW w:type="dxa" w:w="3118"/>
          </w:tcPr>
          <w:p>
            <w:r>
              <w:rPr>
                <w:rFonts w:ascii="Aptos" w:hAnsi="Aptos"/>
                <w:sz w:val="20"/>
              </w:rPr>
              <w:t>Consumer Discretionary</w:t>
            </w:r>
          </w:p>
        </w:tc>
        <w:tc>
          <w:tcPr>
            <w:tcW w:type="dxa" w:w="1984"/>
          </w:tcPr>
          <w:p>
            <w:r>
              <w:rPr>
                <w:rFonts w:ascii="Aptos" w:hAnsi="Aptos"/>
                <w:sz w:val="20"/>
              </w:rPr>
              <w:t>+0.05</w:t>
            </w:r>
          </w:p>
        </w:tc>
        <w:tc>
          <w:tcPr>
            <w:tcW w:type="dxa" w:w="1701"/>
          </w:tcPr>
          <w:p>
            <w:r>
              <w:rPr>
                <w:rFonts w:ascii="Aptos" w:hAnsi="Aptos"/>
                <w:sz w:val="20"/>
              </w:rPr>
              <w:t>-0.02</w:t>
            </w:r>
          </w:p>
        </w:tc>
        <w:tc>
          <w:tcPr>
            <w:tcW w:type="dxa" w:w="1984"/>
          </w:tcPr>
          <w:p>
            <w:r>
              <w:rPr>
                <w:rFonts w:ascii="Aptos" w:hAnsi="Aptos"/>
                <w:sz w:val="20"/>
              </w:rPr>
              <w:t>+0.03</w:t>
            </w:r>
          </w:p>
        </w:tc>
      </w:tr>
      <w:tr>
        <w:tc>
          <w:tcPr>
            <w:tcW w:type="dxa" w:w="3118"/>
          </w:tcPr>
          <w:p>
            <w:r>
              <w:rPr>
                <w:rFonts w:ascii="Aptos" w:hAnsi="Aptos"/>
                <w:sz w:val="20"/>
              </w:rPr>
              <w:t>All other sectors</w:t>
            </w:r>
          </w:p>
        </w:tc>
        <w:tc>
          <w:tcPr>
            <w:tcW w:type="dxa" w:w="1984"/>
          </w:tcPr>
          <w:p>
            <w:r>
              <w:rPr>
                <w:rFonts w:ascii="Aptos" w:hAnsi="Aptos"/>
                <w:sz w:val="20"/>
              </w:rPr>
              <w:t>+0.02</w:t>
            </w:r>
          </w:p>
        </w:tc>
        <w:tc>
          <w:tcPr>
            <w:tcW w:type="dxa" w:w="1701"/>
          </w:tcPr>
          <w:p>
            <w:r>
              <w:rPr>
                <w:rFonts w:ascii="Aptos" w:hAnsi="Aptos"/>
                <w:sz w:val="20"/>
              </w:rPr>
              <w:t>-0.03</w:t>
            </w:r>
          </w:p>
        </w:tc>
        <w:tc>
          <w:tcPr>
            <w:tcW w:type="dxa" w:w="1984"/>
          </w:tcPr>
          <w:p>
            <w:r>
              <w:rPr>
                <w:rFonts w:ascii="Aptos" w:hAnsi="Aptos"/>
                <w:sz w:val="20"/>
              </w:rPr>
              <w:t>-0.01</w:t>
            </w:r>
          </w:p>
        </w:tc>
      </w:tr>
    </w:tbl>
    <w:p/>
    <w:p>
      <w:pPr>
        <w:pStyle w:val="Heading1"/>
      </w:pPr>
      <w:r>
        <w:rPr>
          <w:rFonts w:ascii="Aptos" w:hAnsi="Aptos"/>
          <w:color w:val="1A2E3B"/>
        </w:rPr>
        <w:t>Positioning</w:t>
      </w:r>
    </w:p>
    <w:tbl>
      <w:tblGrid>
        <w:gridCol w:w="3118"/>
        <w:gridCol w:w="1701"/>
        <w:gridCol w:w="1984"/>
        <w:gridCol w:w="1701"/>
      </w:tblGrid>
      <w:tblPr>
        <w:tblW w:type="auto" w:w="0"/>
        <w:jc w:val="left"/>
        <w:tblLayout w:type="fixed"/>
        <w:tblLook w:firstColumn="1" w:firstRow="1" w:lastColumn="0" w:lastRow="0" w:noHBand="0" w:noVBand="1" w:val="04A0"/>
      </w:tblPr>
      <w:tr>
        <w:tc>
          <w:tcPr>
            <w:tcW w:type="dxa" w:w="3118"/>
            <w:shd w:val="clear" w:color="auto" w:fill="E8EEEC"/>
          </w:tcPr>
          <w:p>
            <w:pPr>
              <w:jc w:val="left"/>
            </w:pPr>
            <w:r>
              <w:rPr>
                <w:rFonts w:ascii="Aptos" w:hAnsi="Aptos"/>
                <w:b/>
                <w:color w:val="1A2E3B"/>
                <w:sz w:val="20"/>
              </w:rPr>
              <w:t>Sector</w:t>
            </w:r>
          </w:p>
        </w:tc>
        <w:tc>
          <w:tcPr>
            <w:tcW w:type="dxa" w:w="1701"/>
            <w:shd w:val="clear" w:color="auto" w:fill="E8EEEC"/>
          </w:tcPr>
          <w:p>
            <w:pPr>
              <w:jc w:val="left"/>
            </w:pPr>
            <w:r>
              <w:rPr>
                <w:rFonts w:ascii="Aptos" w:hAnsi="Aptos"/>
                <w:b/>
                <w:color w:val="1A2E3B"/>
                <w:sz w:val="20"/>
              </w:rPr>
              <w:t>Fund (%)</w:t>
            </w:r>
          </w:p>
        </w:tc>
        <w:tc>
          <w:tcPr>
            <w:tcW w:type="dxa" w:w="1984"/>
            <w:shd w:val="clear" w:color="auto" w:fill="E8EEEC"/>
          </w:tcPr>
          <w:p>
            <w:pPr>
              <w:jc w:val="left"/>
            </w:pPr>
            <w:r>
              <w:rPr>
                <w:rFonts w:ascii="Aptos" w:hAnsi="Aptos"/>
                <w:b/>
                <w:color w:val="1A2E3B"/>
                <w:sz w:val="20"/>
              </w:rPr>
              <w:t>Benchmark (%)</w:t>
            </w:r>
          </w:p>
        </w:tc>
        <w:tc>
          <w:tcPr>
            <w:tcW w:type="dxa" w:w="1701"/>
            <w:shd w:val="clear" w:color="auto" w:fill="E8EEEC"/>
          </w:tcPr>
          <w:p>
            <w:pPr>
              <w:jc w:val="left"/>
            </w:pPr>
            <w:r>
              <w:rPr>
                <w:rFonts w:ascii="Aptos" w:hAnsi="Aptos"/>
                <w:b/>
                <w:color w:val="1A2E3B"/>
                <w:sz w:val="20"/>
              </w:rPr>
              <w:t>Active (%)</w:t>
            </w:r>
          </w:p>
        </w:tc>
      </w:tr>
      <w:tr>
        <w:tc>
          <w:tcPr>
            <w:tcW w:type="dxa" w:w="3118"/>
          </w:tcPr>
          <w:p>
            <w:r>
              <w:rPr>
                <w:rFonts w:ascii="Aptos" w:hAnsi="Aptos"/>
                <w:sz w:val="20"/>
              </w:rPr>
              <w:t>Information Technology</w:t>
            </w:r>
          </w:p>
        </w:tc>
        <w:tc>
          <w:tcPr>
            <w:tcW w:type="dxa" w:w="1701"/>
          </w:tcPr>
          <w:p>
            <w:r>
              <w:rPr>
                <w:rFonts w:ascii="Aptos" w:hAnsi="Aptos"/>
                <w:sz w:val="20"/>
              </w:rPr>
              <w:t>26.4</w:t>
            </w:r>
          </w:p>
        </w:tc>
        <w:tc>
          <w:tcPr>
            <w:tcW w:type="dxa" w:w="1984"/>
          </w:tcPr>
          <w:p>
            <w:r>
              <w:rPr>
                <w:rFonts w:ascii="Aptos" w:hAnsi="Aptos"/>
                <w:sz w:val="20"/>
              </w:rPr>
              <w:t>22.1</w:t>
            </w:r>
          </w:p>
        </w:tc>
        <w:tc>
          <w:tcPr>
            <w:tcW w:type="dxa" w:w="1701"/>
          </w:tcPr>
          <w:p>
            <w:r>
              <w:rPr>
                <w:rFonts w:ascii="Aptos" w:hAnsi="Aptos"/>
                <w:sz w:val="20"/>
              </w:rPr>
              <w:t>+4.3</w:t>
            </w:r>
          </w:p>
        </w:tc>
      </w:tr>
      <w:tr>
        <w:tc>
          <w:tcPr>
            <w:tcW w:type="dxa" w:w="3118"/>
          </w:tcPr>
          <w:p>
            <w:r>
              <w:rPr>
                <w:rFonts w:ascii="Aptos" w:hAnsi="Aptos"/>
                <w:sz w:val="20"/>
              </w:rPr>
              <w:t>Health Care</w:t>
            </w:r>
          </w:p>
        </w:tc>
        <w:tc>
          <w:tcPr>
            <w:tcW w:type="dxa" w:w="1701"/>
          </w:tcPr>
          <w:p>
            <w:r>
              <w:rPr>
                <w:rFonts w:ascii="Aptos" w:hAnsi="Aptos"/>
                <w:sz w:val="20"/>
              </w:rPr>
              <w:t>13.8</w:t>
            </w:r>
          </w:p>
        </w:tc>
        <w:tc>
          <w:tcPr>
            <w:tcW w:type="dxa" w:w="1984"/>
          </w:tcPr>
          <w:p>
            <w:r>
              <w:rPr>
                <w:rFonts w:ascii="Aptos" w:hAnsi="Aptos"/>
                <w:sz w:val="20"/>
              </w:rPr>
              <w:t>12.9</w:t>
            </w:r>
          </w:p>
        </w:tc>
        <w:tc>
          <w:tcPr>
            <w:tcW w:type="dxa" w:w="1701"/>
          </w:tcPr>
          <w:p>
            <w:r>
              <w:rPr>
                <w:rFonts w:ascii="Aptos" w:hAnsi="Aptos"/>
                <w:sz w:val="20"/>
              </w:rPr>
              <w:t>+0.9</w:t>
            </w:r>
          </w:p>
        </w:tc>
      </w:tr>
      <w:tr>
        <w:tc>
          <w:tcPr>
            <w:tcW w:type="dxa" w:w="3118"/>
          </w:tcPr>
          <w:p>
            <w:r>
              <w:rPr>
                <w:rFonts w:ascii="Aptos" w:hAnsi="Aptos"/>
                <w:sz w:val="20"/>
              </w:rPr>
              <w:t>Financials</w:t>
            </w:r>
          </w:p>
        </w:tc>
        <w:tc>
          <w:tcPr>
            <w:tcW w:type="dxa" w:w="1701"/>
          </w:tcPr>
          <w:p>
            <w:r>
              <w:rPr>
                <w:rFonts w:ascii="Aptos" w:hAnsi="Aptos"/>
                <w:sz w:val="20"/>
              </w:rPr>
              <w:t>14.2</w:t>
            </w:r>
          </w:p>
        </w:tc>
        <w:tc>
          <w:tcPr>
            <w:tcW w:type="dxa" w:w="1984"/>
          </w:tcPr>
          <w:p>
            <w:r>
              <w:rPr>
                <w:rFonts w:ascii="Aptos" w:hAnsi="Aptos"/>
                <w:sz w:val="20"/>
              </w:rPr>
              <w:t>16.5</w:t>
            </w:r>
          </w:p>
        </w:tc>
        <w:tc>
          <w:tcPr>
            <w:tcW w:type="dxa" w:w="1701"/>
          </w:tcPr>
          <w:p>
            <w:r>
              <w:rPr>
                <w:rFonts w:ascii="Aptos" w:hAnsi="Aptos"/>
                <w:sz w:val="20"/>
              </w:rPr>
              <w:t>-2.3</w:t>
            </w:r>
          </w:p>
        </w:tc>
      </w:tr>
      <w:tr>
        <w:tc>
          <w:tcPr>
            <w:tcW w:type="dxa" w:w="3118"/>
          </w:tcPr>
          <w:p>
            <w:r>
              <w:rPr>
                <w:rFonts w:ascii="Aptos" w:hAnsi="Aptos"/>
                <w:sz w:val="20"/>
              </w:rPr>
              <w:t>Energy</w:t>
            </w:r>
          </w:p>
        </w:tc>
        <w:tc>
          <w:tcPr>
            <w:tcW w:type="dxa" w:w="1701"/>
          </w:tcPr>
          <w:p>
            <w:r>
              <w:rPr>
                <w:rFonts w:ascii="Aptos" w:hAnsi="Aptos"/>
                <w:sz w:val="20"/>
              </w:rPr>
              <w:t>2.1</w:t>
            </w:r>
          </w:p>
        </w:tc>
        <w:tc>
          <w:tcPr>
            <w:tcW w:type="dxa" w:w="1984"/>
          </w:tcPr>
          <w:p>
            <w:r>
              <w:rPr>
                <w:rFonts w:ascii="Aptos" w:hAnsi="Aptos"/>
                <w:sz w:val="20"/>
              </w:rPr>
              <w:t>3.8</w:t>
            </w:r>
          </w:p>
        </w:tc>
        <w:tc>
          <w:tcPr>
            <w:tcW w:type="dxa" w:w="1701"/>
          </w:tcPr>
          <w:p>
            <w:r>
              <w:rPr>
                <w:rFonts w:ascii="Aptos" w:hAnsi="Aptos"/>
                <w:sz w:val="20"/>
              </w:rPr>
              <w:t>-1.7</w:t>
            </w:r>
          </w:p>
        </w:tc>
      </w:tr>
      <w:tr>
        <w:tc>
          <w:tcPr>
            <w:tcW w:type="dxa" w:w="3118"/>
          </w:tcPr>
          <w:p>
            <w:r>
              <w:rPr>
                <w:rFonts w:ascii="Aptos" w:hAnsi="Aptos"/>
                <w:sz w:val="20"/>
              </w:rPr>
              <w:t>Consumer Discretionary</w:t>
            </w:r>
          </w:p>
        </w:tc>
        <w:tc>
          <w:tcPr>
            <w:tcW w:type="dxa" w:w="1701"/>
          </w:tcPr>
          <w:p>
            <w:r>
              <w:rPr>
                <w:rFonts w:ascii="Aptos" w:hAnsi="Aptos"/>
                <w:sz w:val="20"/>
              </w:rPr>
              <w:t>11.6</w:t>
            </w:r>
          </w:p>
        </w:tc>
        <w:tc>
          <w:tcPr>
            <w:tcW w:type="dxa" w:w="1984"/>
          </w:tcPr>
          <w:p>
            <w:r>
              <w:rPr>
                <w:rFonts w:ascii="Aptos" w:hAnsi="Aptos"/>
                <w:sz w:val="20"/>
              </w:rPr>
              <w:t>10.9</w:t>
            </w:r>
          </w:p>
        </w:tc>
        <w:tc>
          <w:tcPr>
            <w:tcW w:type="dxa" w:w="1701"/>
          </w:tcPr>
          <w:p>
            <w:r>
              <w:rPr>
                <w:rFonts w:ascii="Aptos" w:hAnsi="Aptos"/>
                <w:sz w:val="20"/>
              </w:rPr>
              <w:t>+0.7</w:t>
            </w:r>
          </w:p>
        </w:tc>
      </w:tr>
      <w:tr>
        <w:tc>
          <w:tcPr>
            <w:tcW w:type="dxa" w:w="3118"/>
          </w:tcPr>
          <w:p>
            <w:r>
              <w:rPr>
                <w:rFonts w:ascii="Aptos" w:hAnsi="Aptos"/>
                <w:sz w:val="20"/>
              </w:rPr>
              <w:t>Industrials</w:t>
            </w:r>
          </w:p>
        </w:tc>
        <w:tc>
          <w:tcPr>
            <w:tcW w:type="dxa" w:w="1701"/>
          </w:tcPr>
          <w:p>
            <w:r>
              <w:rPr>
                <w:rFonts w:ascii="Aptos" w:hAnsi="Aptos"/>
                <w:sz w:val="20"/>
              </w:rPr>
              <w:t>9.7</w:t>
            </w:r>
          </w:p>
        </w:tc>
        <w:tc>
          <w:tcPr>
            <w:tcW w:type="dxa" w:w="1984"/>
          </w:tcPr>
          <w:p>
            <w:r>
              <w:rPr>
                <w:rFonts w:ascii="Aptos" w:hAnsi="Aptos"/>
                <w:sz w:val="20"/>
              </w:rPr>
              <w:t>10.2</w:t>
            </w:r>
          </w:p>
        </w:tc>
        <w:tc>
          <w:tcPr>
            <w:tcW w:type="dxa" w:w="1701"/>
          </w:tcPr>
          <w:p>
            <w:r>
              <w:rPr>
                <w:rFonts w:ascii="Aptos" w:hAnsi="Aptos"/>
                <w:sz w:val="20"/>
              </w:rPr>
              <w:t>-0.5</w:t>
            </w:r>
          </w:p>
        </w:tc>
      </w:tr>
      <w:tr>
        <w:tc>
          <w:tcPr>
            <w:tcW w:type="dxa" w:w="3118"/>
          </w:tcPr>
          <w:p>
            <w:r>
              <w:rPr>
                <w:rFonts w:ascii="Aptos" w:hAnsi="Aptos"/>
                <w:sz w:val="20"/>
              </w:rPr>
              <w:t>All other sectors</w:t>
            </w:r>
          </w:p>
        </w:tc>
        <w:tc>
          <w:tcPr>
            <w:tcW w:type="dxa" w:w="1701"/>
          </w:tcPr>
          <w:p>
            <w:r>
              <w:rPr>
                <w:rFonts w:ascii="Aptos" w:hAnsi="Aptos"/>
                <w:sz w:val="20"/>
              </w:rPr>
              <w:t>22.2</w:t>
            </w:r>
          </w:p>
        </w:tc>
        <w:tc>
          <w:tcPr>
            <w:tcW w:type="dxa" w:w="1984"/>
          </w:tcPr>
          <w:p>
            <w:r>
              <w:rPr>
                <w:rFonts w:ascii="Aptos" w:hAnsi="Aptos"/>
                <w:sz w:val="20"/>
              </w:rPr>
              <w:t>23.6</w:t>
            </w:r>
          </w:p>
        </w:tc>
        <w:tc>
          <w:tcPr>
            <w:tcW w:type="dxa" w:w="1701"/>
          </w:tcPr>
          <w:p>
            <w:r>
              <w:rPr>
                <w:rFonts w:ascii="Aptos" w:hAnsi="Aptos"/>
                <w:sz w:val="20"/>
              </w:rPr>
              <w:t>-1.4</w:t>
            </w:r>
          </w:p>
        </w:tc>
      </w:tr>
    </w:tbl>
    <w:p/>
    <w:p>
      <w:pPr>
        <w:pStyle w:val="Heading1"/>
      </w:pPr>
      <w:r>
        <w:rPr>
          <w:rFonts w:ascii="Aptos" w:hAnsi="Aptos"/>
          <w:color w:val="1A2E3B"/>
        </w:rPr>
        <w:t>Macro drivers</w:t>
      </w:r>
    </w:p>
    <w:p>
      <w:pPr>
        <w:pStyle w:val="ListBullet"/>
      </w:pPr>
      <w:r>
        <w:rPr>
          <w:rFonts w:ascii="Aptos" w:hAnsi="Aptos"/>
          <w:b/>
        </w:rPr>
        <w:t>Interest rates: US Fed funds rate held at 4.25%-4.50%</w:t>
      </w:r>
    </w:p>
    <w:p>
      <w:pPr>
        <w:ind w:left="340"/>
      </w:pPr>
      <w:r>
        <w:rPr>
          <w:rFonts w:ascii="Aptos" w:hAnsi="Aptos"/>
          <w:sz w:val="21"/>
        </w:rPr>
        <w:t>The Federal Reserve held rates steady for a third consecutive meeting, with commentary continuing to lean on incoming inflation data before signalling any cutting cycle. This kept discount rate assumptions for growth-oriented sectors broadly stable over the month.</w:t>
      </w:r>
    </w:p>
    <w:p>
      <w:pPr>
        <w:pStyle w:val="ListBullet"/>
      </w:pPr>
      <w:r>
        <w:rPr>
          <w:rFonts w:ascii="Aptos" w:hAnsi="Aptos"/>
          <w:b/>
        </w:rPr>
        <w:t>FX: NZD/USD ended the month at 0.585, down 1.2%</w:t>
      </w:r>
    </w:p>
    <w:p>
      <w:pPr>
        <w:ind w:left="340"/>
      </w:pPr>
      <w:r>
        <w:rPr>
          <w:rFonts w:ascii="Aptos" w:hAnsi="Aptos"/>
          <w:sz w:val="21"/>
        </w:rPr>
        <w:t>A softer New Zealand dollar over the month added a modest tailwind to unhedged offshore returns for New Zealand-based investors, contributing roughly 1.2 percentage points of the fund's total return in NZD terms.</w:t>
      </w:r>
    </w:p>
    <w:p>
      <w:pPr>
        <w:pStyle w:val="ListBullet"/>
      </w:pPr>
      <w:r>
        <w:rPr>
          <w:rFonts w:ascii="Aptos" w:hAnsi="Aptos"/>
          <w:b/>
        </w:rPr>
        <w:t>Bond yields: US 10-year Treasury yield eased 8bps to 4.21%</w:t>
      </w:r>
    </w:p>
    <w:p>
      <w:pPr>
        <w:ind w:left="340"/>
      </w:pPr>
      <w:r>
        <w:rPr>
          <w:rFonts w:ascii="Aptos" w:hAnsi="Aptos"/>
          <w:sz w:val="21"/>
        </w:rPr>
        <w:t>A modest pullback in long-dated yields provided some relief for higher duration growth names, consistent with the outperformance seen in the technology sector this month.</w:t>
      </w:r>
    </w:p>
    <w:p>
      <w:pPr>
        <w:pStyle w:val="ListBullet"/>
      </w:pPr>
      <w:r>
        <w:rPr>
          <w:rFonts w:ascii="Aptos" w:hAnsi="Aptos"/>
          <w:b/>
        </w:rPr>
        <w:t>Geopolitical events: Ongoing trade policy discussions between major economies</w:t>
      </w:r>
    </w:p>
    <w:p>
      <w:pPr>
        <w:ind w:left="340"/>
      </w:pPr>
      <w:r>
        <w:rPr>
          <w:rFonts w:ascii="Aptos" w:hAnsi="Aptos"/>
          <w:sz w:val="21"/>
        </w:rPr>
        <w:t>Continued uncertainty around trade policy kept volatility elevated in cyclical sectors, particularly industrials and energy, though broad market impact was contained over the period.</w:t>
      </w:r>
    </w:p>
    <w:p>
      <w:pPr>
        <w:pStyle w:val="Heading1"/>
      </w:pPr>
      <w:r>
        <w:rPr>
          <w:rFonts w:ascii="Aptos" w:hAnsi="Aptos"/>
          <w:color w:val="1A2E3B"/>
        </w:rPr>
        <w:t>Commentary</w:t>
      </w:r>
    </w:p>
    <w:p>
      <w:pPr>
        <w:pStyle w:val="Heading2"/>
      </w:pPr>
      <w:r>
        <w:rPr>
          <w:rFonts w:ascii="Aptos" w:hAnsi="Aptos"/>
          <w:color w:val="1A2E3B"/>
        </w:rPr>
        <w:t>Market commentary</w:t>
      </w:r>
    </w:p>
    <w:p>
      <w:r>
        <w:rPr>
          <w:rFonts w:ascii="Aptos" w:hAnsi="Aptos"/>
        </w:rPr>
        <w:t>Global equities advanced over the month, led by continued strength in large-cap technology names on the back of resilient earnings and ongoing enthusiasm around AI-related capital expenditure. Energy was the notable laggard as oil prices softened on demand concerns.</w:t>
      </w:r>
    </w:p>
    <w:p>
      <w:pPr>
        <w:pStyle w:val="Heading2"/>
      </w:pPr>
      <w:r>
        <w:rPr>
          <w:rFonts w:ascii="Aptos" w:hAnsi="Aptos"/>
          <w:color w:val="1A2E3B"/>
        </w:rPr>
        <w:t>Attribution commentary</w:t>
      </w:r>
    </w:p>
    <w:p>
      <w:r>
        <w:rPr>
          <w:rFonts w:ascii="Aptos" w:hAnsi="Aptos"/>
        </w:rPr>
        <w:t>Outperformance versus the benchmark was driven primarily by an overweight position in Information Technology, which contributed positively through both allocation and stock selection. This was partially offset by underweight positioning in Financials, where the benchmark's constituents outperformed the fund's holdings within the sector.</w:t>
      </w:r>
    </w:p>
    <w:p>
      <w:pPr>
        <w:pStyle w:val="Heading2"/>
      </w:pPr>
      <w:r>
        <w:rPr>
          <w:rFonts w:ascii="Aptos" w:hAnsi="Aptos"/>
          <w:color w:val="1A2E3B"/>
        </w:rPr>
        <w:t>Outlook</w:t>
      </w:r>
    </w:p>
    <w:p>
      <w:r>
        <w:rPr>
          <w:rFonts w:ascii="Aptos" w:hAnsi="Aptos"/>
        </w:rPr>
        <w:t>The portfolio remains overweight Information Technology and Health Care heading into the next quarter, reflecting continued conviction in structural earnings growth in these areas, while the underweight to Energy reflects a cautious near-term view on commodity price direction.</w:t>
      </w:r>
    </w:p>
    <w:p>
      <w:pPr>
        <w:pStyle w:val="Heading2"/>
      </w:pPr>
      <w:r>
        <w:rPr>
          <w:rFonts w:ascii="Aptos" w:hAnsi="Aptos"/>
          <w:color w:val="1A2E3B"/>
        </w:rPr>
        <w:t>AI use and human review</w:t>
      </w:r>
    </w:p>
    <w:p>
      <w:r>
        <w:rPr>
          <w:rFonts w:ascii="Aptos" w:hAnsi="Aptos"/>
          <w:color w:val="555555"/>
          <w:sz w:val="17"/>
        </w:rPr>
        <w:t>This report was assembled by an automated reporting system and is a draft until a person approves it. Nothing produced here reaches a reader on the system's own say-so.</w:t>
      </w:r>
    </w:p>
    <w:p>
      <w:r>
        <w:rPr>
          <w:rFonts w:ascii="Aptos" w:hAnsi="Aptos"/>
          <w:color w:val="555555"/>
          <w:sz w:val="17"/>
        </w:rPr>
        <w:t>No part of this report was written by a language model.</w:t>
      </w:r>
    </w:p>
    <w:p>
      <w:r>
        <w:rPr>
          <w:rFonts w:ascii="Aptos" w:hAnsi="Aptos"/>
          <w:color w:val="555555"/>
          <w:sz w:val="17"/>
        </w:rPr>
        <w:t>Before this report is issued, a reviewer reads the draft, signs off one by one on any source found outside the approved list, and records the approval against their own name. What was changed, by whom, and when is kept with the report.</w:t>
      </w:r>
    </w:p>
    <w:p>
      <w:r>
        <w:rPr>
          <w:i/>
          <w:color w:val="808080"/>
          <w:sz w:val="17"/>
        </w:rPr>
        <w:t>Draft generated 2026-09-02 — For internal review only, not for distribution.</w:t>
      </w:r>
    </w:p>
    <w:sectPr w:rsidR="00FC693F" w:rsidRPr="0006063C" w:rsidSect="00034616">
      <w:pgSz w:w="12240" w:h="15840"/>
      <w:pgMar w:top="1440" w:right="1247" w:bottom="144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