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512000" cy="350206"/>
            <wp:docPr id="1" name="Picture 1"/>
            <wp:cNvGraphicFramePr>
              <a:graphicFrameLocks noChangeAspect="1"/>
            </wp:cNvGraphicFramePr>
            <a:graphic>
              <a:graphicData uri="http://schemas.openxmlformats.org/drawingml/2006/picture">
                <pic:pic>
                  <pic:nvPicPr>
                    <pic:cNvPr id="0" name="logo.png"/>
                    <pic:cNvPicPr/>
                  </pic:nvPicPr>
                  <pic:blipFill>
                    <a:blip r:embed="rId9"/>
                    <a:stretch>
                      <a:fillRect/>
                    </a:stretch>
                  </pic:blipFill>
                  <pic:spPr>
                    <a:xfrm>
                      <a:off x="0" y="0"/>
                      <a:ext cx="1512000" cy="350206"/>
                    </a:xfrm>
                    <a:prstGeom prst="rect"/>
                  </pic:spPr>
                </pic:pic>
              </a:graphicData>
            </a:graphic>
          </wp:inline>
        </w:drawing>
      </w:r>
    </w:p>
    <w:p>
      <w:pPr>
        <w:pStyle w:val="Title"/>
      </w:pPr>
      <w:r>
        <w:rPr>
          <w:rFonts w:ascii="Aptos" w:hAnsi="Aptos"/>
          <w:color w:val="1A2E3B"/>
        </w:rPr>
        <w:t>Global Equity Fund</w:t>
      </w:r>
    </w:p>
    <w:p>
      <w:r>
        <w:rPr>
          <w:rFonts w:ascii="Aptos" w:hAnsi="Aptos"/>
          <w:color w:val="2E6B5E"/>
          <w:sz w:val="22"/>
        </w:rPr>
        <w:t>Super Amazing Fund Management  |  Month ended 31 August 2026</w:t>
      </w:r>
    </w:p>
    <w:p>
      <w:r>
        <w:rPr>
          <w:rFonts w:ascii="Aptos" w:hAnsi="Aptos"/>
          <w:i/>
          <w:sz w:val="20"/>
        </w:rPr>
        <w:t>Benchmark: MSCI World Index (NZD, unhedged)</w:t>
      </w:r>
    </w:p>
    <w:p>
      <w:pPr>
        <w:pStyle w:val="Heading1"/>
      </w:pPr>
      <w:r>
        <w:rPr>
          <w:rFonts w:ascii="Aptos" w:hAnsi="Aptos"/>
          <w:color w:val="1A2E3B"/>
        </w:rPr>
        <w:t>Fund returns</w:t>
      </w:r>
    </w:p>
    <w:p>
      <w:r>
        <w:drawing>
          <wp:inline xmlns:a="http://schemas.openxmlformats.org/drawingml/2006/main" xmlns:pic="http://schemas.openxmlformats.org/drawingml/2006/picture">
            <wp:extent cx="5760000" cy="2194286"/>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760000" cy="2194286"/>
                    </a:xfrm>
                    <a:prstGeom prst="rect"/>
                  </pic:spPr>
                </pic:pic>
              </a:graphicData>
            </a:graphic>
          </wp:inline>
        </w:drawing>
      </w:r>
    </w:p>
    <w:tbl>
      <w:tblGrid>
        <w:gridCol w:w="2551"/>
        <w:gridCol w:w="1701"/>
        <w:gridCol w:w="1984"/>
        <w:gridCol w:w="1701"/>
      </w:tblGrid>
      <w:tblPr>
        <w:tblW w:type="auto" w:w="0"/>
        <w:jc w:val="left"/>
        <w:tblLayout w:type="fixed"/>
        <w:tblLook w:firstColumn="1" w:firstRow="1" w:lastColumn="0" w:lastRow="0" w:noHBand="0" w:noVBand="1" w:val="04A0"/>
      </w:tblPr>
      <w:tr>
        <w:tc>
          <w:tcPr>
            <w:tcW w:type="dxa" w:w="2551"/>
            <w:shd w:val="clear" w:color="auto" w:fill="E8EEEC"/>
          </w:tcPr>
          <w:p>
            <w:pPr>
              <w:jc w:val="left"/>
            </w:pPr>
            <w:r>
              <w:rPr>
                <w:rFonts w:ascii="Aptos" w:hAnsi="Aptos"/>
                <w:b/>
                <w:color w:val="1A2E3B"/>
                <w:sz w:val="20"/>
              </w:rPr>
              <w:t>Period</w:t>
            </w:r>
          </w:p>
        </w:tc>
        <w:tc>
          <w:tcPr>
            <w:tcW w:type="dxa" w:w="1701"/>
            <w:shd w:val="clear" w:color="auto" w:fill="E8EEEC"/>
          </w:tcPr>
          <w:p>
            <w:pPr>
              <w:jc w:val="left"/>
            </w:pPr>
            <w:r>
              <w:rPr>
                <w:rFonts w:ascii="Aptos" w:hAnsi="Aptos"/>
                <w:b/>
                <w:color w:val="1A2E3B"/>
                <w:sz w:val="20"/>
              </w:rPr>
              <w:t>Fund (%)</w:t>
            </w:r>
          </w:p>
        </w:tc>
        <w:tc>
          <w:tcPr>
            <w:tcW w:type="dxa" w:w="1984"/>
            <w:shd w:val="clear" w:color="auto" w:fill="E8EEEC"/>
          </w:tcPr>
          <w:p>
            <w:pPr>
              <w:jc w:val="left"/>
            </w:pPr>
            <w:r>
              <w:rPr>
                <w:rFonts w:ascii="Aptos" w:hAnsi="Aptos"/>
                <w:b/>
                <w:color w:val="1A2E3B"/>
                <w:sz w:val="20"/>
              </w:rPr>
              <w:t>Benchmark (%)</w:t>
            </w:r>
          </w:p>
        </w:tc>
        <w:tc>
          <w:tcPr>
            <w:tcW w:type="dxa" w:w="1701"/>
            <w:shd w:val="clear" w:color="auto" w:fill="E8EEEC"/>
          </w:tcPr>
          <w:p>
            <w:pPr>
              <w:jc w:val="left"/>
            </w:pPr>
            <w:r>
              <w:rPr>
                <w:rFonts w:ascii="Aptos" w:hAnsi="Aptos"/>
                <w:b/>
                <w:color w:val="1A2E3B"/>
                <w:sz w:val="20"/>
              </w:rPr>
              <w:t>Excess (%)</w:t>
            </w:r>
          </w:p>
        </w:tc>
      </w:tr>
      <w:tr>
        <w:tc>
          <w:tcPr>
            <w:tcW w:type="dxa" w:w="2551"/>
          </w:tcPr>
          <w:p>
            <w:r>
              <w:rPr>
                <w:rFonts w:ascii="Aptos" w:hAnsi="Aptos"/>
                <w:sz w:val="20"/>
              </w:rPr>
              <w:t>1 Month</w:t>
            </w:r>
          </w:p>
        </w:tc>
        <w:tc>
          <w:tcPr>
            <w:tcW w:type="dxa" w:w="1701"/>
          </w:tcPr>
          <w:p>
            <w:r>
              <w:rPr>
                <w:rFonts w:ascii="Aptos" w:hAnsi="Aptos"/>
                <w:sz w:val="20"/>
              </w:rPr>
              <w:t>+1.14</w:t>
            </w:r>
          </w:p>
        </w:tc>
        <w:tc>
          <w:tcPr>
            <w:tcW w:type="dxa" w:w="1984"/>
          </w:tcPr>
          <w:p>
            <w:r>
              <w:rPr>
                <w:rFonts w:ascii="Aptos" w:hAnsi="Aptos"/>
                <w:sz w:val="20"/>
              </w:rPr>
              <w:t>+2.58</w:t>
            </w:r>
          </w:p>
        </w:tc>
        <w:tc>
          <w:tcPr>
            <w:tcW w:type="dxa" w:w="1701"/>
          </w:tcPr>
          <w:p>
            <w:r>
              <w:rPr>
                <w:rFonts w:ascii="Aptos" w:hAnsi="Aptos"/>
                <w:sz w:val="20"/>
              </w:rPr>
              <w:t>-1.44</w:t>
            </w:r>
          </w:p>
        </w:tc>
      </w:tr>
      <w:tr>
        <w:tc>
          <w:tcPr>
            <w:tcW w:type="dxa" w:w="2551"/>
          </w:tcPr>
          <w:p>
            <w:r>
              <w:rPr>
                <w:rFonts w:ascii="Aptos" w:hAnsi="Aptos"/>
                <w:sz w:val="20"/>
              </w:rPr>
              <w:t>3 Months</w:t>
            </w:r>
          </w:p>
        </w:tc>
        <w:tc>
          <w:tcPr>
            <w:tcW w:type="dxa" w:w="1701"/>
          </w:tcPr>
          <w:p>
            <w:r>
              <w:rPr>
                <w:rFonts w:ascii="Aptos" w:hAnsi="Aptos"/>
                <w:sz w:val="20"/>
              </w:rPr>
              <w:t>+4.60</w:t>
            </w:r>
          </w:p>
        </w:tc>
        <w:tc>
          <w:tcPr>
            <w:tcW w:type="dxa" w:w="1984"/>
          </w:tcPr>
          <w:p>
            <w:r>
              <w:rPr>
                <w:rFonts w:ascii="Aptos" w:hAnsi="Aptos"/>
                <w:sz w:val="20"/>
              </w:rPr>
              <w:t>+4.90</w:t>
            </w:r>
          </w:p>
        </w:tc>
        <w:tc>
          <w:tcPr>
            <w:tcW w:type="dxa" w:w="1701"/>
          </w:tcPr>
          <w:p>
            <w:r>
              <w:rPr>
                <w:rFonts w:ascii="Aptos" w:hAnsi="Aptos"/>
                <w:sz w:val="20"/>
              </w:rPr>
              <w:t>-0.30</w:t>
            </w:r>
          </w:p>
        </w:tc>
      </w:tr>
      <w:tr>
        <w:tc>
          <w:tcPr>
            <w:tcW w:type="dxa" w:w="2551"/>
          </w:tcPr>
          <w:p>
            <w:r>
              <w:rPr>
                <w:rFonts w:ascii="Aptos" w:hAnsi="Aptos"/>
                <w:sz w:val="20"/>
              </w:rPr>
              <w:t>1 Year</w:t>
            </w:r>
          </w:p>
        </w:tc>
        <w:tc>
          <w:tcPr>
            <w:tcW w:type="dxa" w:w="1701"/>
          </w:tcPr>
          <w:p>
            <w:r>
              <w:rPr>
                <w:rFonts w:ascii="Aptos" w:hAnsi="Aptos"/>
                <w:sz w:val="20"/>
              </w:rPr>
              <w:t>+14.20</w:t>
            </w:r>
          </w:p>
        </w:tc>
        <w:tc>
          <w:tcPr>
            <w:tcW w:type="dxa" w:w="1984"/>
          </w:tcPr>
          <w:p>
            <w:r>
              <w:rPr>
                <w:rFonts w:ascii="Aptos" w:hAnsi="Aptos"/>
                <w:sz w:val="20"/>
              </w:rPr>
              <w:t>+12.70</w:t>
            </w:r>
          </w:p>
        </w:tc>
        <w:tc>
          <w:tcPr>
            <w:tcW w:type="dxa" w:w="1701"/>
          </w:tcPr>
          <w:p>
            <w:r>
              <w:rPr>
                <w:rFonts w:ascii="Aptos" w:hAnsi="Aptos"/>
                <w:sz w:val="20"/>
              </w:rPr>
              <w:t>+1.50</w:t>
            </w:r>
          </w:p>
        </w:tc>
      </w:tr>
      <w:tr>
        <w:tc>
          <w:tcPr>
            <w:tcW w:type="dxa" w:w="2551"/>
          </w:tcPr>
          <w:p>
            <w:r>
              <w:rPr>
                <w:rFonts w:ascii="Aptos" w:hAnsi="Aptos"/>
                <w:sz w:val="20"/>
              </w:rPr>
              <w:t>Since Inception</w:t>
            </w:r>
          </w:p>
        </w:tc>
        <w:tc>
          <w:tcPr>
            <w:tcW w:type="dxa" w:w="1701"/>
          </w:tcPr>
          <w:p>
            <w:r>
              <w:rPr>
                <w:rFonts w:ascii="Aptos" w:hAnsi="Aptos"/>
                <w:sz w:val="20"/>
              </w:rPr>
              <w:t>+9.80</w:t>
            </w:r>
          </w:p>
        </w:tc>
        <w:tc>
          <w:tcPr>
            <w:tcW w:type="dxa" w:w="1984"/>
          </w:tcPr>
          <w:p>
            <w:r>
              <w:rPr>
                <w:rFonts w:ascii="Aptos" w:hAnsi="Aptos"/>
                <w:sz w:val="20"/>
              </w:rPr>
              <w:t>+8.90</w:t>
            </w:r>
          </w:p>
        </w:tc>
        <w:tc>
          <w:tcPr>
            <w:tcW w:type="dxa" w:w="1701"/>
          </w:tcPr>
          <w:p>
            <w:r>
              <w:rPr>
                <w:rFonts w:ascii="Aptos" w:hAnsi="Aptos"/>
                <w:sz w:val="20"/>
              </w:rPr>
              <w:t>+0.90</w:t>
            </w:r>
          </w:p>
        </w:tc>
      </w:tr>
    </w:tbl>
    <w:p/>
    <w:p>
      <w:pPr>
        <w:pStyle w:val="Heading1"/>
      </w:pPr>
      <w:r>
        <w:rPr>
          <w:rFonts w:ascii="Aptos" w:hAnsi="Aptos"/>
          <w:color w:val="1A2E3B"/>
        </w:rPr>
        <w:t>Macro drivers</w:t>
      </w:r>
    </w:p>
    <w:p>
      <w:pPr>
        <w:pStyle w:val="ListBullet"/>
      </w:pPr>
      <w:r>
        <w:rPr>
          <w:rFonts w:ascii="Aptos" w:hAnsi="Aptos"/>
          <w:b/>
        </w:rPr>
        <w:t>Interest rates: US Fed funds rate held at 4.25%-4.50%</w:t>
      </w:r>
    </w:p>
    <w:p>
      <w:pPr>
        <w:ind w:left="340"/>
      </w:pPr>
      <w:r>
        <w:rPr>
          <w:rFonts w:ascii="Aptos" w:hAnsi="Aptos"/>
          <w:sz w:val="21"/>
        </w:rPr>
        <w:t>The Federal Reserve held rates steady for a third consecutive meeting, with commentary continuing to lean on incoming inflation data before signalling any cutting cycle. This kept discount rate assumptions for growth-oriented sectors broadly stable over the month.</w:t>
      </w:r>
    </w:p>
    <w:p>
      <w:pPr>
        <w:pStyle w:val="ListBullet"/>
      </w:pPr>
      <w:r>
        <w:rPr>
          <w:rFonts w:ascii="Aptos" w:hAnsi="Aptos"/>
          <w:b/>
        </w:rPr>
        <w:t>FX: NZD/USD ended the month at 0.585, down 1.2%</w:t>
      </w:r>
    </w:p>
    <w:p>
      <w:pPr>
        <w:ind w:left="340"/>
      </w:pPr>
      <w:r>
        <w:rPr>
          <w:rFonts w:ascii="Aptos" w:hAnsi="Aptos"/>
          <w:sz w:val="21"/>
        </w:rPr>
        <w:t>A softer New Zealand dollar over the month added a modest tailwind to unhedged offshore returns for New Zealand-based investors, contributing roughly 1.2 percentage points of the fund's total return in NZD terms.</w:t>
      </w:r>
    </w:p>
    <w:p>
      <w:pPr>
        <w:pStyle w:val="ListBullet"/>
      </w:pPr>
      <w:r>
        <w:rPr>
          <w:rFonts w:ascii="Aptos" w:hAnsi="Aptos"/>
          <w:b/>
        </w:rPr>
        <w:t>Bond yields: US 10-year Treasury yield eased 8bps to 4.21%</w:t>
      </w:r>
    </w:p>
    <w:p>
      <w:pPr>
        <w:ind w:left="340"/>
      </w:pPr>
      <w:r>
        <w:rPr>
          <w:rFonts w:ascii="Aptos" w:hAnsi="Aptos"/>
          <w:sz w:val="21"/>
        </w:rPr>
        <w:t>A modest pullback in long-dated yields provided some relief for higher duration growth names, part of the same rally in the technology sector that the fund's underweight position there missed most of.</w:t>
      </w:r>
    </w:p>
    <w:p>
      <w:pPr>
        <w:pStyle w:val="ListBullet"/>
      </w:pPr>
      <w:r>
        <w:rPr>
          <w:rFonts w:ascii="Aptos" w:hAnsi="Aptos"/>
          <w:b/>
        </w:rPr>
        <w:t>Geopolitical events: Ongoing trade policy discussions between major economies</w:t>
      </w:r>
    </w:p>
    <w:p>
      <w:pPr>
        <w:ind w:left="340"/>
      </w:pPr>
      <w:r>
        <w:rPr>
          <w:rFonts w:ascii="Aptos" w:hAnsi="Aptos"/>
          <w:sz w:val="21"/>
        </w:rPr>
        <w:t>Continued uncertainty around trade policy kept volatility elevated in cyclical sectors, particularly industrials and energy, though broad market impact was contained over the period.</w:t>
      </w:r>
    </w:p>
    <w:p>
      <w:pPr>
        <w:pStyle w:val="Heading1"/>
      </w:pPr>
      <w:r>
        <w:rPr>
          <w:rFonts w:ascii="Aptos" w:hAnsi="Aptos"/>
          <w:color w:val="1A2E3B"/>
        </w:rPr>
        <w:t>Market reactions</w:t>
      </w:r>
    </w:p>
    <w:p>
      <w:r>
        <w:rPr>
          <w:rFonts w:ascii="Aptos" w:hAnsi="Aptos"/>
          <w:color w:val="555555"/>
          <w:sz w:val="19"/>
        </w:rPr>
        <w:t>How the market responded to disclosures by the companies and funds held.</w:t>
      </w:r>
    </w:p>
    <w:p>
      <w:r>
        <w:rPr>
          <w:rFonts w:ascii="Aptos" w:hAnsi="Aptos"/>
          <w:b/>
          <w:color w:val="1A2E3B"/>
        </w:rPr>
        <w:t>Microsoft</w:t>
      </w:r>
      <w:r>
        <w:rPr>
          <w:rFonts w:ascii="Aptos" w:hAnsi="Aptos"/>
          <w:b w:val="0"/>
          <w:i/>
          <w:color w:val="2E6B5E"/>
          <w:sz w:val="16"/>
        </w:rPr>
        <w:t xml:space="preserve">  [AI-drafted]</w:t>
      </w:r>
    </w:p>
    <w:p>
      <w:pPr>
        <w:ind w:left="340"/>
      </w:pPr>
      <w:r>
        <w:rPr>
          <w:rFonts w:ascii="Aptos" w:hAnsi="Aptos"/>
          <w:color w:val="555555"/>
          <w:sz w:val="19"/>
        </w:rPr>
        <w:t>Disclosures during Month ended 31 August 2026  |  Little market reaction</w:t>
      </w:r>
    </w:p>
    <w:p>
      <w:pPr>
        <w:ind w:left="340"/>
      </w:pPr>
      <w:r>
        <w:rPr>
          <w:rFonts w:ascii="Aptos" w:hAnsi="Aptos"/>
          <w:sz w:val="21"/>
        </w:rPr>
        <w:t>Microsoft's 10-K filing in early August 2026 revealed the software giant recorded $24.1 billion in sales from the AI firm during the year ended in June, with CEO Satya Nadella noting the company was on pace at the end of the March quarter to record $37 billion in revenue over the course of a full year. No specific share price reaction to this disclosure was found in coverage; the shares had already re-rated sharply on the late-July earnings beat that preceded it.</w:t>
      </w:r>
    </w:p>
    <w:p>
      <w:r>
        <w:rPr>
          <w:rFonts w:ascii="Aptos" w:hAnsi="Aptos"/>
          <w:b/>
          <w:color w:val="1A2E3B"/>
        </w:rPr>
        <w:t>ASML Holding</w:t>
      </w:r>
      <w:r>
        <w:rPr>
          <w:rFonts w:ascii="Aptos" w:hAnsi="Aptos"/>
          <w:b w:val="0"/>
          <w:i/>
          <w:color w:val="2E6B5E"/>
          <w:sz w:val="16"/>
        </w:rPr>
        <w:t xml:space="preserve">  [AI-drafted]</w:t>
      </w:r>
    </w:p>
    <w:p>
      <w:pPr>
        <w:ind w:left="340"/>
      </w:pPr>
      <w:r>
        <w:rPr>
          <w:rFonts w:ascii="Aptos" w:hAnsi="Aptos"/>
          <w:color w:val="555555"/>
          <w:sz w:val="19"/>
        </w:rPr>
        <w:t>Disclosures during Month ended 31 August 2026  |  Little market reaction</w:t>
      </w:r>
    </w:p>
    <w:p>
      <w:pPr>
        <w:ind w:left="340"/>
      </w:pPr>
      <w:r>
        <w:rPr>
          <w:rFonts w:ascii="Aptos" w:hAnsi="Aptos"/>
          <w:sz w:val="21"/>
        </w:rPr>
        <w:t>No announcement, results release, or market-moving disclosure specific to ASML Holding during August 2026 turned up in search results; the most recent notable disclosures were the Q2 2026 results on 15 July 2026 and a report of Chinese DUV tool progress on 27-28 July 2026, both outside the reporting month.</w:t>
      </w:r>
    </w:p>
    <w:p>
      <w:r>
        <w:rPr>
          <w:rFonts w:ascii="Aptos" w:hAnsi="Aptos"/>
          <w:b/>
          <w:color w:val="1A2E3B"/>
        </w:rPr>
        <w:t>Novo Nordisk</w:t>
      </w:r>
      <w:r>
        <w:rPr>
          <w:rFonts w:ascii="Aptos" w:hAnsi="Aptos"/>
          <w:b w:val="0"/>
          <w:i/>
          <w:color w:val="2E6B5E"/>
          <w:sz w:val="16"/>
        </w:rPr>
        <w:t xml:space="preserve">  [AI-drafted]</w:t>
      </w:r>
    </w:p>
    <w:p>
      <w:pPr>
        <w:ind w:left="340"/>
      </w:pPr>
      <w:r>
        <w:rPr>
          <w:rFonts w:ascii="Aptos" w:hAnsi="Aptos"/>
          <w:color w:val="555555"/>
          <w:sz w:val="19"/>
        </w:rPr>
        <w:t>Disclosures during Month ended 31 August 2026  |  Received negatively</w:t>
      </w:r>
    </w:p>
    <w:p>
      <w:pPr>
        <w:ind w:left="340"/>
      </w:pPr>
      <w:r>
        <w:rPr>
          <w:rFonts w:ascii="Aptos" w:hAnsi="Aptos"/>
          <w:sz w:val="21"/>
        </w:rPr>
        <w:t>I have enough to write the entry now.</w:t>
        <w:br/>
        <w:br/>
        <w:t>Novo Nordisk's H1 2026 results, published 4 August 2026, showed Q2 2026 adjusted sales increased by 7% at CER, and adjusted operating profit increased by 11% at CER, prompting a raised full-year outlook. Despite this, Bloomberg reported the update did little to upend the investor perception that the company is struggling against rival Eli Lilly.</w:t>
      </w:r>
    </w:p>
    <w:p>
      <w:pPr>
        <w:pStyle w:val="Heading1"/>
      </w:pPr>
      <w:r>
        <w:rPr>
          <w:rFonts w:ascii="Aptos" w:hAnsi="Aptos"/>
          <w:color w:val="1A2E3B"/>
        </w:rPr>
        <w:t>Commentary</w:t>
      </w:r>
    </w:p>
    <w:p>
      <w:pPr>
        <w:pStyle w:val="Heading2"/>
      </w:pPr>
      <w:r>
        <w:rPr>
          <w:rFonts w:ascii="Aptos" w:hAnsi="Aptos"/>
          <w:color w:val="1A2E3B"/>
        </w:rPr>
        <w:t>Market commentary</w:t>
      </w:r>
      <w:r>
        <w:rPr>
          <w:rFonts w:ascii="Aptos" w:hAnsi="Aptos"/>
          <w:b w:val="0"/>
          <w:i/>
          <w:color w:val="2E6B5E"/>
          <w:sz w:val="16"/>
        </w:rPr>
        <w:t xml:space="preserve">  [AI-drafted]</w:t>
      </w:r>
    </w:p>
    <w:p>
      <w:r>
        <w:rPr>
          <w:rFonts w:ascii="Aptos" w:hAnsi="Aptos"/>
        </w:rPr>
        <w:t>Global equities were volatile in August 2026, with an early-month AI-led rally giving way to a chipmaker selloff. Coreweave and Super Micro results initially affirmed confidence in the AI trade, with shares of Coreweave rising as much as 24% while Super Micro gained nearly 18%. Mid-month, growing anxiety about inflation and rising government debt kept bond yields elevated, driving a closely watched gauge of semiconductor firms down by 5%, with oil settling around $85 amid a US-Iran deadlock over the Strait of Hormuz. The fund's lag against the benchmark's 2.58% is consistent with lighter exposure to the mega-cap technology and semiconductor names that swung sharply through the month.</w:t>
      </w:r>
    </w:p>
    <w:p>
      <w:pPr>
        <w:pStyle w:val="Heading2"/>
      </w:pPr>
      <w:r>
        <w:rPr>
          <w:rFonts w:ascii="Aptos" w:hAnsi="Aptos"/>
          <w:color w:val="1A2E3B"/>
        </w:rPr>
        <w:t>Attribution commentary</w:t>
      </w:r>
      <w:r>
        <w:rPr>
          <w:rFonts w:ascii="Aptos" w:hAnsi="Aptos"/>
          <w:b w:val="0"/>
          <w:i/>
          <w:color w:val="2E6B5E"/>
          <w:sz w:val="16"/>
        </w:rPr>
        <w:t xml:space="preserve">  [AI-drafted]</w:t>
      </w:r>
    </w:p>
    <w:p>
      <w:r>
        <w:rPr>
          <w:rFonts w:ascii="Aptos" w:hAnsi="Aptos"/>
        </w:rPr>
        <w:t>Information Technology was by far the largest detractor, as semiconductor names sold off through mid-August. A selloff in chipmakers sent stocks lower, with the market also falling as growing anxiety about inflation and rising government debt kept bond yields elevated, before the sector was further rattled when a news report that some of the chipmaker's biggest customers have been notified about AI-related price hikes above 15% surfaced. Industrials also weighed on results: AI hardware continued to drive August's increase in import prices, while commodity-price volatility from the Iran war raised the cost of industrial materials at the border. Late in the month, a flare-up in geopolitical risks sent stocks and bonds lower as oil climbed, raising concerns about inflationary pressures, adding further pressure on cyclical sectors into month-end.</w:t>
      </w:r>
    </w:p>
    <w:p>
      <w:pPr>
        <w:pStyle w:val="Heading2"/>
      </w:pPr>
      <w:r>
        <w:rPr>
          <w:rFonts w:ascii="Aptos" w:hAnsi="Aptos"/>
          <w:color w:val="1A2E3B"/>
        </w:rPr>
        <w:t>Outlook</w:t>
      </w:r>
      <w:r>
        <w:rPr>
          <w:rFonts w:ascii="Aptos" w:hAnsi="Aptos"/>
          <w:b w:val="0"/>
          <w:i/>
          <w:color w:val="2E6B5E"/>
          <w:sz w:val="16"/>
        </w:rPr>
        <w:t xml:space="preserve">  [AI-drafted]</w:t>
      </w:r>
    </w:p>
    <w:p>
      <w:r>
        <w:rPr>
          <w:rFonts w:ascii="Aptos" w:hAnsi="Aptos"/>
        </w:rPr>
        <w:t>Heading into the period after 31 August 2026, the fund's 5.1% underweight to Information Technology sits against continued warnings on concentration risk: Bloomberg reported that investors have put $52 billion into information technology ETFs since late March, versus just $4 billion into the rest of the market, "$13" for every "$1" elsewhere, a backdrop that saw a September AI-development slowdown warning trigger a sharp tech selloff. The Federal Reserve's July minutes noted the equity premium was at a level "only been lower in recent history during the dot-com bubble." The Industrials overweight sits inside a sector Bloomberg described as trading at "tech-like valuations" on AI-linked optimism, with worries mounting that the link "may be getting too tight." The Financials overweight remains supported by a resilient credit backdrop, with the Fed characterising corporate bond spreads as little changed and very low by historical standards, reflecting a solid corporate credit outlook.</w:t>
      </w:r>
    </w:p>
    <w:p>
      <w:pPr>
        <w:pStyle w:val="Heading1"/>
      </w:pPr>
      <w:r>
        <w:rPr>
          <w:rFonts w:ascii="Aptos" w:hAnsi="Aptos"/>
          <w:color w:val="1A2E3B"/>
        </w:rPr>
        <w:t>Sector</w:t>
      </w:r>
    </w:p>
    <w:tbl>
      <w:tblGrid>
        <w:gridCol w:w="2268"/>
        <w:gridCol w:w="1247"/>
        <w:gridCol w:w="1417"/>
        <w:gridCol w:w="1247"/>
        <w:gridCol w:w="1247"/>
        <w:gridCol w:w="1247"/>
        <w:gridCol w:w="1247"/>
      </w:tblGrid>
      <w:tblPr>
        <w:tblW w:type="auto" w:w="0"/>
        <w:jc w:val="left"/>
        <w:tblLayout w:type="fixed"/>
        <w:tblLook w:firstColumn="1" w:firstRow="1" w:lastColumn="0" w:lastRow="0" w:noHBand="0" w:noVBand="1" w:val="04A0"/>
      </w:tblPr>
      <w:tr>
        <w:tc>
          <w:tcPr>
            <w:tcW w:type="dxa" w:w="2268"/>
            <w:shd w:val="clear" w:color="auto" w:fill="E8EEEC"/>
          </w:tcPr>
          <w:p>
            <w:pPr>
              <w:jc w:val="left"/>
            </w:pPr>
            <w:r>
              <w:rPr>
                <w:rFonts w:ascii="Aptos" w:hAnsi="Aptos"/>
                <w:b/>
                <w:color w:val="1A2E3B"/>
                <w:sz w:val="20"/>
              </w:rPr>
            </w:r>
          </w:p>
        </w:tc>
        <w:tc>
          <w:tcPr>
            <w:tcW w:type="dxa" w:w="1247"/>
            <w:shd w:val="clear" w:color="auto" w:fill="E8EEEC"/>
          </w:tcPr>
          <w:p>
            <w:pPr>
              <w:jc w:val="left"/>
            </w:pPr>
            <w:r>
              <w:rPr>
                <w:rFonts w:ascii="Aptos" w:hAnsi="Aptos"/>
                <w:b/>
                <w:color w:val="1A2E3B"/>
                <w:sz w:val="20"/>
              </w:rPr>
              <w:t>Fund (%)</w:t>
            </w:r>
          </w:p>
        </w:tc>
        <w:tc>
          <w:tcPr>
            <w:tcW w:type="dxa" w:w="1417"/>
            <w:shd w:val="clear" w:color="auto" w:fill="E8EEEC"/>
          </w:tcPr>
          <w:p>
            <w:pPr>
              <w:jc w:val="left"/>
            </w:pPr>
            <w:r>
              <w:rPr>
                <w:rFonts w:ascii="Aptos" w:hAnsi="Aptos"/>
                <w:b/>
                <w:color w:val="1A2E3B"/>
                <w:sz w:val="20"/>
              </w:rPr>
              <w:t>Benchmark (%)</w:t>
            </w:r>
          </w:p>
        </w:tc>
        <w:tc>
          <w:tcPr>
            <w:tcW w:type="dxa" w:w="1247"/>
            <w:shd w:val="clear" w:color="auto" w:fill="E8EEEC"/>
          </w:tcPr>
          <w:p>
            <w:pPr>
              <w:jc w:val="left"/>
            </w:pPr>
            <w:r>
              <w:rPr>
                <w:rFonts w:ascii="Aptos" w:hAnsi="Aptos"/>
                <w:b/>
                <w:color w:val="1A2E3B"/>
                <w:sz w:val="20"/>
              </w:rPr>
              <w:t>Active (%)</w:t>
            </w:r>
          </w:p>
        </w:tc>
        <w:tc>
          <w:tcPr>
            <w:tcW w:type="dxa" w:w="1247"/>
            <w:shd w:val="clear" w:color="auto" w:fill="E8EEEC"/>
          </w:tcPr>
          <w:p>
            <w:pPr>
              <w:jc w:val="left"/>
            </w:pPr>
            <w:r>
              <w:rPr>
                <w:rFonts w:ascii="Aptos" w:hAnsi="Aptos"/>
                <w:b/>
                <w:color w:val="1A2E3B"/>
                <w:sz w:val="20"/>
              </w:rPr>
              <w:t>Alloc. (%)</w:t>
            </w:r>
          </w:p>
        </w:tc>
        <w:tc>
          <w:tcPr>
            <w:tcW w:type="dxa" w:w="1247"/>
            <w:shd w:val="clear" w:color="auto" w:fill="E8EEEC"/>
          </w:tcPr>
          <w:p>
            <w:pPr>
              <w:jc w:val="left"/>
            </w:pPr>
            <w:r>
              <w:rPr>
                <w:rFonts w:ascii="Aptos" w:hAnsi="Aptos"/>
                <w:b/>
                <w:color w:val="1A2E3B"/>
                <w:sz w:val="20"/>
              </w:rPr>
              <w:t>Select. (%)</w:t>
            </w:r>
          </w:p>
        </w:tc>
        <w:tc>
          <w:tcPr>
            <w:tcW w:type="dxa" w:w="1247"/>
            <w:shd w:val="clear" w:color="auto" w:fill="E8EEEC"/>
          </w:tcPr>
          <w:p>
            <w:pPr>
              <w:jc w:val="left"/>
            </w:pPr>
            <w:r>
              <w:rPr>
                <w:rFonts w:ascii="Aptos" w:hAnsi="Aptos"/>
                <w:b/>
                <w:color w:val="1A2E3B"/>
                <w:sz w:val="20"/>
              </w:rPr>
              <w:t>Total (%)</w:t>
            </w:r>
          </w:p>
        </w:tc>
      </w:tr>
      <w:tr>
        <w:tc>
          <w:tcPr>
            <w:tcW w:type="dxa" w:w="2268"/>
          </w:tcPr>
          <w:p>
            <w:r>
              <w:rPr>
                <w:rFonts w:ascii="Aptos" w:hAnsi="Aptos"/>
                <w:sz w:val="20"/>
              </w:rPr>
              <w:t>Utilities</w:t>
            </w:r>
          </w:p>
        </w:tc>
        <w:tc>
          <w:tcPr>
            <w:tcW w:type="dxa" w:w="1247"/>
          </w:tcPr>
          <w:p>
            <w:r>
              <w:rPr>
                <w:rFonts w:ascii="Aptos" w:hAnsi="Aptos"/>
                <w:sz w:val="20"/>
              </w:rPr>
              <w:t>0.0</w:t>
            </w:r>
          </w:p>
        </w:tc>
        <w:tc>
          <w:tcPr>
            <w:tcW w:type="dxa" w:w="1417"/>
          </w:tcPr>
          <w:p>
            <w:r>
              <w:rPr>
                <w:rFonts w:ascii="Aptos" w:hAnsi="Aptos"/>
                <w:sz w:val="20"/>
              </w:rPr>
              <w:t>2.5</w:t>
            </w:r>
          </w:p>
        </w:tc>
        <w:tc>
          <w:tcPr>
            <w:tcW w:type="dxa" w:w="1247"/>
          </w:tcPr>
          <w:p>
            <w:r>
              <w:rPr>
                <w:rFonts w:ascii="Aptos" w:hAnsi="Aptos"/>
                <w:sz w:val="20"/>
              </w:rPr>
              <w:t>-2.5</w:t>
            </w:r>
          </w:p>
        </w:tc>
        <w:tc>
          <w:tcPr>
            <w:tcW w:type="dxa" w:w="1247"/>
          </w:tcPr>
          <w:p>
            <w:r>
              <w:rPr>
                <w:rFonts w:ascii="Aptos" w:hAnsi="Aptos"/>
                <w:sz w:val="20"/>
              </w:rPr>
              <w:t>+0.15</w:t>
            </w:r>
          </w:p>
        </w:tc>
        <w:tc>
          <w:tcPr>
            <w:tcW w:type="dxa" w:w="1247"/>
          </w:tcPr>
          <w:p>
            <w:r>
              <w:rPr>
                <w:rFonts w:ascii="Aptos" w:hAnsi="Aptos"/>
                <w:sz w:val="20"/>
              </w:rPr>
              <w:t>+0.00</w:t>
            </w:r>
          </w:p>
        </w:tc>
        <w:tc>
          <w:tcPr>
            <w:tcW w:type="dxa" w:w="1247"/>
          </w:tcPr>
          <w:p>
            <w:r>
              <w:rPr>
                <w:rFonts w:ascii="Aptos" w:hAnsi="Aptos"/>
                <w:sz w:val="20"/>
              </w:rPr>
              <w:t>+0.15</w:t>
            </w:r>
          </w:p>
        </w:tc>
      </w:tr>
      <w:tr>
        <w:tc>
          <w:tcPr>
            <w:tcW w:type="dxa" w:w="2268"/>
          </w:tcPr>
          <w:p>
            <w:r>
              <w:rPr>
                <w:rFonts w:ascii="Aptos" w:hAnsi="Aptos"/>
                <w:sz w:val="20"/>
              </w:rPr>
              <w:t>Financials</w:t>
            </w:r>
          </w:p>
        </w:tc>
        <w:tc>
          <w:tcPr>
            <w:tcW w:type="dxa" w:w="1247"/>
          </w:tcPr>
          <w:p>
            <w:r>
              <w:rPr>
                <w:rFonts w:ascii="Aptos" w:hAnsi="Aptos"/>
                <w:sz w:val="20"/>
              </w:rPr>
              <w:t>24.8</w:t>
            </w:r>
          </w:p>
        </w:tc>
        <w:tc>
          <w:tcPr>
            <w:tcW w:type="dxa" w:w="1417"/>
          </w:tcPr>
          <w:p>
            <w:r>
              <w:rPr>
                <w:rFonts w:ascii="Aptos" w:hAnsi="Aptos"/>
                <w:sz w:val="20"/>
              </w:rPr>
              <w:t>16.6</w:t>
            </w:r>
          </w:p>
        </w:tc>
        <w:tc>
          <w:tcPr>
            <w:tcW w:type="dxa" w:w="1247"/>
          </w:tcPr>
          <w:p>
            <w:r>
              <w:rPr>
                <w:rFonts w:ascii="Aptos" w:hAnsi="Aptos"/>
                <w:sz w:val="20"/>
              </w:rPr>
              <w:t>+8.3</w:t>
            </w:r>
          </w:p>
        </w:tc>
        <w:tc>
          <w:tcPr>
            <w:tcW w:type="dxa" w:w="1247"/>
          </w:tcPr>
          <w:p>
            <w:r>
              <w:rPr>
                <w:rFonts w:ascii="Aptos" w:hAnsi="Aptos"/>
                <w:sz w:val="20"/>
              </w:rPr>
              <w:t>-0.14</w:t>
            </w:r>
          </w:p>
        </w:tc>
        <w:tc>
          <w:tcPr>
            <w:tcW w:type="dxa" w:w="1247"/>
          </w:tcPr>
          <w:p>
            <w:r>
              <w:rPr>
                <w:rFonts w:ascii="Aptos" w:hAnsi="Aptos"/>
                <w:sz w:val="20"/>
              </w:rPr>
              <w:t>+0.24</w:t>
            </w:r>
          </w:p>
        </w:tc>
        <w:tc>
          <w:tcPr>
            <w:tcW w:type="dxa" w:w="1247"/>
          </w:tcPr>
          <w:p>
            <w:r>
              <w:rPr>
                <w:rFonts w:ascii="Aptos" w:hAnsi="Aptos"/>
                <w:sz w:val="20"/>
              </w:rPr>
              <w:t>+0.09</w:t>
            </w:r>
          </w:p>
        </w:tc>
      </w:tr>
      <w:tr>
        <w:tc>
          <w:tcPr>
            <w:tcW w:type="dxa" w:w="2268"/>
          </w:tcPr>
          <w:p>
            <w:r>
              <w:rPr>
                <w:rFonts w:ascii="Aptos" w:hAnsi="Aptos"/>
                <w:sz w:val="20"/>
              </w:rPr>
              <w:t>Real Estate</w:t>
            </w:r>
          </w:p>
        </w:tc>
        <w:tc>
          <w:tcPr>
            <w:tcW w:type="dxa" w:w="1247"/>
          </w:tcPr>
          <w:p>
            <w:r>
              <w:rPr>
                <w:rFonts w:ascii="Aptos" w:hAnsi="Aptos"/>
                <w:sz w:val="20"/>
              </w:rPr>
              <w:t>0.0</w:t>
            </w:r>
          </w:p>
        </w:tc>
        <w:tc>
          <w:tcPr>
            <w:tcW w:type="dxa" w:w="1417"/>
          </w:tcPr>
          <w:p>
            <w:r>
              <w:rPr>
                <w:rFonts w:ascii="Aptos" w:hAnsi="Aptos"/>
                <w:sz w:val="20"/>
              </w:rPr>
              <w:t>1.7</w:t>
            </w:r>
          </w:p>
        </w:tc>
        <w:tc>
          <w:tcPr>
            <w:tcW w:type="dxa" w:w="1247"/>
          </w:tcPr>
          <w:p>
            <w:r>
              <w:rPr>
                <w:rFonts w:ascii="Aptos" w:hAnsi="Aptos"/>
                <w:sz w:val="20"/>
              </w:rPr>
              <w:t>-1.7</w:t>
            </w:r>
          </w:p>
        </w:tc>
        <w:tc>
          <w:tcPr>
            <w:tcW w:type="dxa" w:w="1247"/>
          </w:tcPr>
          <w:p>
            <w:r>
              <w:rPr>
                <w:rFonts w:ascii="Aptos" w:hAnsi="Aptos"/>
                <w:sz w:val="20"/>
              </w:rPr>
              <w:t>+0.08</w:t>
            </w:r>
          </w:p>
        </w:tc>
        <w:tc>
          <w:tcPr>
            <w:tcW w:type="dxa" w:w="1247"/>
          </w:tcPr>
          <w:p>
            <w:r>
              <w:rPr>
                <w:rFonts w:ascii="Aptos" w:hAnsi="Aptos"/>
                <w:sz w:val="20"/>
              </w:rPr>
              <w:t>+0.00</w:t>
            </w:r>
          </w:p>
        </w:tc>
        <w:tc>
          <w:tcPr>
            <w:tcW w:type="dxa" w:w="1247"/>
          </w:tcPr>
          <w:p>
            <w:r>
              <w:rPr>
                <w:rFonts w:ascii="Aptos" w:hAnsi="Aptos"/>
                <w:sz w:val="20"/>
              </w:rPr>
              <w:t>+0.08</w:t>
            </w:r>
          </w:p>
        </w:tc>
      </w:tr>
      <w:tr>
        <w:tc>
          <w:tcPr>
            <w:tcW w:type="dxa" w:w="2268"/>
          </w:tcPr>
          <w:p>
            <w:r>
              <w:rPr>
                <w:rFonts w:ascii="Aptos" w:hAnsi="Aptos"/>
                <w:sz w:val="20"/>
              </w:rPr>
              <w:t>Health Care</w:t>
            </w:r>
          </w:p>
        </w:tc>
        <w:tc>
          <w:tcPr>
            <w:tcW w:type="dxa" w:w="1247"/>
          </w:tcPr>
          <w:p>
            <w:r>
              <w:rPr>
                <w:rFonts w:ascii="Aptos" w:hAnsi="Aptos"/>
                <w:sz w:val="20"/>
              </w:rPr>
              <w:t>10.5</w:t>
            </w:r>
          </w:p>
        </w:tc>
        <w:tc>
          <w:tcPr>
            <w:tcW w:type="dxa" w:w="1417"/>
          </w:tcPr>
          <w:p>
            <w:r>
              <w:rPr>
                <w:rFonts w:ascii="Aptos" w:hAnsi="Aptos"/>
                <w:sz w:val="20"/>
              </w:rPr>
              <w:t>9.2</w:t>
            </w:r>
          </w:p>
        </w:tc>
        <w:tc>
          <w:tcPr>
            <w:tcW w:type="dxa" w:w="1247"/>
          </w:tcPr>
          <w:p>
            <w:r>
              <w:rPr>
                <w:rFonts w:ascii="Aptos" w:hAnsi="Aptos"/>
                <w:sz w:val="20"/>
              </w:rPr>
              <w:t>+1.3</w:t>
            </w:r>
          </w:p>
        </w:tc>
        <w:tc>
          <w:tcPr>
            <w:tcW w:type="dxa" w:w="1247"/>
          </w:tcPr>
          <w:p>
            <w:r>
              <w:rPr>
                <w:rFonts w:ascii="Aptos" w:hAnsi="Aptos"/>
                <w:sz w:val="20"/>
              </w:rPr>
              <w:t>+0.06</w:t>
            </w:r>
          </w:p>
        </w:tc>
        <w:tc>
          <w:tcPr>
            <w:tcW w:type="dxa" w:w="1247"/>
          </w:tcPr>
          <w:p>
            <w:r>
              <w:rPr>
                <w:rFonts w:ascii="Aptos" w:hAnsi="Aptos"/>
                <w:sz w:val="20"/>
              </w:rPr>
              <w:t>+0.02</w:t>
            </w:r>
          </w:p>
        </w:tc>
        <w:tc>
          <w:tcPr>
            <w:tcW w:type="dxa" w:w="1247"/>
          </w:tcPr>
          <w:p>
            <w:r>
              <w:rPr>
                <w:rFonts w:ascii="Aptos" w:hAnsi="Aptos"/>
                <w:sz w:val="20"/>
              </w:rPr>
              <w:t>+0.07</w:t>
            </w:r>
          </w:p>
        </w:tc>
      </w:tr>
      <w:tr>
        <w:tc>
          <w:tcPr>
            <w:tcW w:type="dxa" w:w="2268"/>
          </w:tcPr>
          <w:p>
            <w:r>
              <w:rPr>
                <w:rFonts w:ascii="Aptos" w:hAnsi="Aptos"/>
                <w:sz w:val="20"/>
              </w:rPr>
              <w:t>Materials</w:t>
            </w:r>
          </w:p>
        </w:tc>
        <w:tc>
          <w:tcPr>
            <w:tcW w:type="dxa" w:w="1247"/>
          </w:tcPr>
          <w:p>
            <w:r>
              <w:rPr>
                <w:rFonts w:ascii="Aptos" w:hAnsi="Aptos"/>
                <w:sz w:val="20"/>
              </w:rPr>
              <w:t>3.2</w:t>
            </w:r>
          </w:p>
        </w:tc>
        <w:tc>
          <w:tcPr>
            <w:tcW w:type="dxa" w:w="1417"/>
          </w:tcPr>
          <w:p>
            <w:r>
              <w:rPr>
                <w:rFonts w:ascii="Aptos" w:hAnsi="Aptos"/>
                <w:sz w:val="20"/>
              </w:rPr>
              <w:t>3.4</w:t>
            </w:r>
          </w:p>
        </w:tc>
        <w:tc>
          <w:tcPr>
            <w:tcW w:type="dxa" w:w="1247"/>
          </w:tcPr>
          <w:p>
            <w:r>
              <w:rPr>
                <w:rFonts w:ascii="Aptos" w:hAnsi="Aptos"/>
                <w:sz w:val="20"/>
              </w:rPr>
              <w:t>-0.2</w:t>
            </w:r>
          </w:p>
        </w:tc>
        <w:tc>
          <w:tcPr>
            <w:tcW w:type="dxa" w:w="1247"/>
          </w:tcPr>
          <w:p>
            <w:r>
              <w:rPr>
                <w:rFonts w:ascii="Aptos" w:hAnsi="Aptos"/>
                <w:sz w:val="20"/>
              </w:rPr>
              <w:t>-0.00</w:t>
            </w:r>
          </w:p>
        </w:tc>
        <w:tc>
          <w:tcPr>
            <w:tcW w:type="dxa" w:w="1247"/>
          </w:tcPr>
          <w:p>
            <w:r>
              <w:rPr>
                <w:rFonts w:ascii="Aptos" w:hAnsi="Aptos"/>
                <w:sz w:val="20"/>
              </w:rPr>
              <w:t>+0.05</w:t>
            </w:r>
          </w:p>
        </w:tc>
        <w:tc>
          <w:tcPr>
            <w:tcW w:type="dxa" w:w="1247"/>
          </w:tcPr>
          <w:p>
            <w:r>
              <w:rPr>
                <w:rFonts w:ascii="Aptos" w:hAnsi="Aptos"/>
                <w:sz w:val="20"/>
              </w:rPr>
              <w:t>+0.05</w:t>
            </w:r>
          </w:p>
        </w:tc>
      </w:tr>
      <w:tr>
        <w:tc>
          <w:tcPr>
            <w:tcW w:type="dxa" w:w="2268"/>
          </w:tcPr>
          <w:p>
            <w:r>
              <w:rPr>
                <w:rFonts w:ascii="Aptos" w:hAnsi="Aptos"/>
                <w:sz w:val="20"/>
              </w:rPr>
              <w:t>Cash</w:t>
            </w:r>
          </w:p>
        </w:tc>
        <w:tc>
          <w:tcPr>
            <w:tcW w:type="dxa" w:w="1247"/>
          </w:tcPr>
          <w:p>
            <w:r>
              <w:rPr>
                <w:rFonts w:ascii="Aptos" w:hAnsi="Aptos"/>
                <w:sz w:val="20"/>
              </w:rPr>
              <w:t>0.7</w:t>
            </w:r>
          </w:p>
        </w:tc>
        <w:tc>
          <w:tcPr>
            <w:tcW w:type="dxa" w:w="1417"/>
          </w:tcPr>
          <w:p>
            <w:r>
              <w:rPr>
                <w:rFonts w:ascii="Aptos" w:hAnsi="Aptos"/>
                <w:sz w:val="20"/>
              </w:rPr>
              <w:t>0.0</w:t>
            </w:r>
          </w:p>
        </w:tc>
        <w:tc>
          <w:tcPr>
            <w:tcW w:type="dxa" w:w="1247"/>
          </w:tcPr>
          <w:p>
            <w:r>
              <w:rPr>
                <w:rFonts w:ascii="Aptos" w:hAnsi="Aptos"/>
                <w:sz w:val="20"/>
              </w:rPr>
              <w:t>+0.7</w:t>
            </w:r>
          </w:p>
        </w:tc>
        <w:tc>
          <w:tcPr>
            <w:tcW w:type="dxa" w:w="1247"/>
          </w:tcPr>
          <w:p>
            <w:r>
              <w:rPr>
                <w:rFonts w:ascii="Aptos" w:hAnsi="Aptos"/>
                <w:sz w:val="20"/>
              </w:rPr>
              <w:t>-0.01</w:t>
            </w:r>
          </w:p>
        </w:tc>
        <w:tc>
          <w:tcPr>
            <w:tcW w:type="dxa" w:w="1247"/>
          </w:tcPr>
          <w:p>
            <w:r>
              <w:rPr>
                <w:rFonts w:ascii="Aptos" w:hAnsi="Aptos"/>
                <w:sz w:val="20"/>
              </w:rPr>
              <w:t>+0.00</w:t>
            </w:r>
          </w:p>
        </w:tc>
        <w:tc>
          <w:tcPr>
            <w:tcW w:type="dxa" w:w="1247"/>
          </w:tcPr>
          <w:p>
            <w:r>
              <w:rPr>
                <w:rFonts w:ascii="Aptos" w:hAnsi="Aptos"/>
                <w:sz w:val="20"/>
              </w:rPr>
              <w:t>-0.01</w:t>
            </w:r>
          </w:p>
        </w:tc>
      </w:tr>
      <w:tr>
        <w:tc>
          <w:tcPr>
            <w:tcW w:type="dxa" w:w="2268"/>
          </w:tcPr>
          <w:p>
            <w:r>
              <w:rPr>
                <w:rFonts w:ascii="Aptos" w:hAnsi="Aptos"/>
                <w:sz w:val="20"/>
              </w:rPr>
              <w:t>Consumer Staples</w:t>
            </w:r>
          </w:p>
        </w:tc>
        <w:tc>
          <w:tcPr>
            <w:tcW w:type="dxa" w:w="1247"/>
          </w:tcPr>
          <w:p>
            <w:r>
              <w:rPr>
                <w:rFonts w:ascii="Aptos" w:hAnsi="Aptos"/>
                <w:sz w:val="20"/>
              </w:rPr>
              <w:t>3.7</w:t>
            </w:r>
          </w:p>
        </w:tc>
        <w:tc>
          <w:tcPr>
            <w:tcW w:type="dxa" w:w="1417"/>
          </w:tcPr>
          <w:p>
            <w:r>
              <w:rPr>
                <w:rFonts w:ascii="Aptos" w:hAnsi="Aptos"/>
                <w:sz w:val="20"/>
              </w:rPr>
              <w:t>5.0</w:t>
            </w:r>
          </w:p>
        </w:tc>
        <w:tc>
          <w:tcPr>
            <w:tcW w:type="dxa" w:w="1247"/>
          </w:tcPr>
          <w:p>
            <w:r>
              <w:rPr>
                <w:rFonts w:ascii="Aptos" w:hAnsi="Aptos"/>
                <w:sz w:val="20"/>
              </w:rPr>
              <w:t>-1.3</w:t>
            </w:r>
          </w:p>
        </w:tc>
        <w:tc>
          <w:tcPr>
            <w:tcW w:type="dxa" w:w="1247"/>
          </w:tcPr>
          <w:p>
            <w:r>
              <w:rPr>
                <w:rFonts w:ascii="Aptos" w:hAnsi="Aptos"/>
                <w:sz w:val="20"/>
              </w:rPr>
              <w:t>+0.05</w:t>
            </w:r>
          </w:p>
        </w:tc>
        <w:tc>
          <w:tcPr>
            <w:tcW w:type="dxa" w:w="1247"/>
          </w:tcPr>
          <w:p>
            <w:r>
              <w:rPr>
                <w:rFonts w:ascii="Aptos" w:hAnsi="Aptos"/>
                <w:sz w:val="20"/>
              </w:rPr>
              <w:t>-0.08</w:t>
            </w:r>
          </w:p>
        </w:tc>
        <w:tc>
          <w:tcPr>
            <w:tcW w:type="dxa" w:w="1247"/>
          </w:tcPr>
          <w:p>
            <w:r>
              <w:rPr>
                <w:rFonts w:ascii="Aptos" w:hAnsi="Aptos"/>
                <w:sz w:val="20"/>
              </w:rPr>
              <w:t>-0.04</w:t>
            </w:r>
          </w:p>
        </w:tc>
      </w:tr>
      <w:tr>
        <w:tc>
          <w:tcPr>
            <w:tcW w:type="dxa" w:w="2268"/>
          </w:tcPr>
          <w:p>
            <w:r>
              <w:rPr>
                <w:rFonts w:ascii="Aptos" w:hAnsi="Aptos"/>
                <w:sz w:val="20"/>
              </w:rPr>
              <w:t>Communication Services</w:t>
            </w:r>
          </w:p>
        </w:tc>
        <w:tc>
          <w:tcPr>
            <w:tcW w:type="dxa" w:w="1247"/>
          </w:tcPr>
          <w:p>
            <w:r>
              <w:rPr>
                <w:rFonts w:ascii="Aptos" w:hAnsi="Aptos"/>
                <w:sz w:val="20"/>
              </w:rPr>
              <w:t>4.5</w:t>
            </w:r>
          </w:p>
        </w:tc>
        <w:tc>
          <w:tcPr>
            <w:tcW w:type="dxa" w:w="1417"/>
          </w:tcPr>
          <w:p>
            <w:r>
              <w:rPr>
                <w:rFonts w:ascii="Aptos" w:hAnsi="Aptos"/>
                <w:sz w:val="20"/>
              </w:rPr>
              <w:t>8.0</w:t>
            </w:r>
          </w:p>
        </w:tc>
        <w:tc>
          <w:tcPr>
            <w:tcW w:type="dxa" w:w="1247"/>
          </w:tcPr>
          <w:p>
            <w:r>
              <w:rPr>
                <w:rFonts w:ascii="Aptos" w:hAnsi="Aptos"/>
                <w:sz w:val="20"/>
              </w:rPr>
              <w:t>-3.5</w:t>
            </w:r>
          </w:p>
        </w:tc>
        <w:tc>
          <w:tcPr>
            <w:tcW w:type="dxa" w:w="1247"/>
          </w:tcPr>
          <w:p>
            <w:r>
              <w:rPr>
                <w:rFonts w:ascii="Aptos" w:hAnsi="Aptos"/>
                <w:sz w:val="20"/>
              </w:rPr>
              <w:t>+0.08</w:t>
            </w:r>
          </w:p>
        </w:tc>
        <w:tc>
          <w:tcPr>
            <w:tcW w:type="dxa" w:w="1247"/>
          </w:tcPr>
          <w:p>
            <w:r>
              <w:rPr>
                <w:rFonts w:ascii="Aptos" w:hAnsi="Aptos"/>
                <w:sz w:val="20"/>
              </w:rPr>
              <w:t>-0.12</w:t>
            </w:r>
          </w:p>
        </w:tc>
        <w:tc>
          <w:tcPr>
            <w:tcW w:type="dxa" w:w="1247"/>
          </w:tcPr>
          <w:p>
            <w:r>
              <w:rPr>
                <w:rFonts w:ascii="Aptos" w:hAnsi="Aptos"/>
                <w:sz w:val="20"/>
              </w:rPr>
              <w:t>-0.04</w:t>
            </w:r>
          </w:p>
        </w:tc>
      </w:tr>
      <w:tr>
        <w:tc>
          <w:tcPr>
            <w:tcW w:type="dxa" w:w="2268"/>
          </w:tcPr>
          <w:p>
            <w:r>
              <w:rPr>
                <w:rFonts w:ascii="Aptos" w:hAnsi="Aptos"/>
                <w:sz w:val="20"/>
              </w:rPr>
              <w:t>Energy</w:t>
            </w:r>
          </w:p>
        </w:tc>
        <w:tc>
          <w:tcPr>
            <w:tcW w:type="dxa" w:w="1247"/>
          </w:tcPr>
          <w:p>
            <w:r>
              <w:rPr>
                <w:rFonts w:ascii="Aptos" w:hAnsi="Aptos"/>
                <w:sz w:val="20"/>
              </w:rPr>
              <w:t>5.2</w:t>
            </w:r>
          </w:p>
        </w:tc>
        <w:tc>
          <w:tcPr>
            <w:tcW w:type="dxa" w:w="1417"/>
          </w:tcPr>
          <w:p>
            <w:r>
              <w:rPr>
                <w:rFonts w:ascii="Aptos" w:hAnsi="Aptos"/>
                <w:sz w:val="20"/>
              </w:rPr>
              <w:t>4.0</w:t>
            </w:r>
          </w:p>
        </w:tc>
        <w:tc>
          <w:tcPr>
            <w:tcW w:type="dxa" w:w="1247"/>
          </w:tcPr>
          <w:p>
            <w:r>
              <w:rPr>
                <w:rFonts w:ascii="Aptos" w:hAnsi="Aptos"/>
                <w:sz w:val="20"/>
              </w:rPr>
              <w:t>+1.2</w:t>
            </w:r>
          </w:p>
        </w:tc>
        <w:tc>
          <w:tcPr>
            <w:tcW w:type="dxa" w:w="1247"/>
          </w:tcPr>
          <w:p>
            <w:r>
              <w:rPr>
                <w:rFonts w:ascii="Aptos" w:hAnsi="Aptos"/>
                <w:sz w:val="20"/>
              </w:rPr>
              <w:t>+0.02</w:t>
            </w:r>
          </w:p>
        </w:tc>
        <w:tc>
          <w:tcPr>
            <w:tcW w:type="dxa" w:w="1247"/>
          </w:tcPr>
          <w:p>
            <w:r>
              <w:rPr>
                <w:rFonts w:ascii="Aptos" w:hAnsi="Aptos"/>
                <w:sz w:val="20"/>
              </w:rPr>
              <w:t>-0.11</w:t>
            </w:r>
          </w:p>
        </w:tc>
        <w:tc>
          <w:tcPr>
            <w:tcW w:type="dxa" w:w="1247"/>
          </w:tcPr>
          <w:p>
            <w:r>
              <w:rPr>
                <w:rFonts w:ascii="Aptos" w:hAnsi="Aptos"/>
                <w:sz w:val="20"/>
              </w:rPr>
              <w:t>-0.09</w:t>
            </w:r>
          </w:p>
        </w:tc>
      </w:tr>
      <w:tr>
        <w:tc>
          <w:tcPr>
            <w:tcW w:type="dxa" w:w="2268"/>
          </w:tcPr>
          <w:p>
            <w:r>
              <w:rPr>
                <w:rFonts w:ascii="Aptos" w:hAnsi="Aptos"/>
                <w:sz w:val="20"/>
              </w:rPr>
              <w:t>Consumer Discretionary</w:t>
            </w:r>
          </w:p>
        </w:tc>
        <w:tc>
          <w:tcPr>
            <w:tcW w:type="dxa" w:w="1247"/>
          </w:tcPr>
          <w:p>
            <w:r>
              <w:rPr>
                <w:rFonts w:ascii="Aptos" w:hAnsi="Aptos"/>
                <w:sz w:val="20"/>
              </w:rPr>
              <w:t>7.1</w:t>
            </w:r>
          </w:p>
        </w:tc>
        <w:tc>
          <w:tcPr>
            <w:tcW w:type="dxa" w:w="1417"/>
          </w:tcPr>
          <w:p>
            <w:r>
              <w:rPr>
                <w:rFonts w:ascii="Aptos" w:hAnsi="Aptos"/>
                <w:sz w:val="20"/>
              </w:rPr>
              <w:t>8.9</w:t>
            </w:r>
          </w:p>
        </w:tc>
        <w:tc>
          <w:tcPr>
            <w:tcW w:type="dxa" w:w="1247"/>
          </w:tcPr>
          <w:p>
            <w:r>
              <w:rPr>
                <w:rFonts w:ascii="Aptos" w:hAnsi="Aptos"/>
                <w:sz w:val="20"/>
              </w:rPr>
              <w:t>-1.8</w:t>
            </w:r>
          </w:p>
        </w:tc>
        <w:tc>
          <w:tcPr>
            <w:tcW w:type="dxa" w:w="1247"/>
          </w:tcPr>
          <w:p>
            <w:r>
              <w:rPr>
                <w:rFonts w:ascii="Aptos" w:hAnsi="Aptos"/>
                <w:sz w:val="20"/>
              </w:rPr>
              <w:t>+0.05</w:t>
            </w:r>
          </w:p>
        </w:tc>
        <w:tc>
          <w:tcPr>
            <w:tcW w:type="dxa" w:w="1247"/>
          </w:tcPr>
          <w:p>
            <w:r>
              <w:rPr>
                <w:rFonts w:ascii="Aptos" w:hAnsi="Aptos"/>
                <w:sz w:val="20"/>
              </w:rPr>
              <w:t>-0.33</w:t>
            </w:r>
          </w:p>
        </w:tc>
        <w:tc>
          <w:tcPr>
            <w:tcW w:type="dxa" w:w="1247"/>
          </w:tcPr>
          <w:p>
            <w:r>
              <w:rPr>
                <w:rFonts w:ascii="Aptos" w:hAnsi="Aptos"/>
                <w:sz w:val="20"/>
              </w:rPr>
              <w:t>-0.28</w:t>
            </w:r>
          </w:p>
        </w:tc>
      </w:tr>
      <w:tr>
        <w:tc>
          <w:tcPr>
            <w:tcW w:type="dxa" w:w="2268"/>
          </w:tcPr>
          <w:p>
            <w:r>
              <w:rPr>
                <w:rFonts w:ascii="Aptos" w:hAnsi="Aptos"/>
                <w:sz w:val="20"/>
              </w:rPr>
              <w:t>Industrials</w:t>
            </w:r>
          </w:p>
        </w:tc>
        <w:tc>
          <w:tcPr>
            <w:tcW w:type="dxa" w:w="1247"/>
          </w:tcPr>
          <w:p>
            <w:r>
              <w:rPr>
                <w:rFonts w:ascii="Aptos" w:hAnsi="Aptos"/>
                <w:sz w:val="20"/>
              </w:rPr>
              <w:t>16.0</w:t>
            </w:r>
          </w:p>
        </w:tc>
        <w:tc>
          <w:tcPr>
            <w:tcW w:type="dxa" w:w="1417"/>
          </w:tcPr>
          <w:p>
            <w:r>
              <w:rPr>
                <w:rFonts w:ascii="Aptos" w:hAnsi="Aptos"/>
                <w:sz w:val="20"/>
              </w:rPr>
              <w:t>11.4</w:t>
            </w:r>
          </w:p>
        </w:tc>
        <w:tc>
          <w:tcPr>
            <w:tcW w:type="dxa" w:w="1247"/>
          </w:tcPr>
          <w:p>
            <w:r>
              <w:rPr>
                <w:rFonts w:ascii="Aptos" w:hAnsi="Aptos"/>
                <w:sz w:val="20"/>
              </w:rPr>
              <w:t>+4.5</w:t>
            </w:r>
          </w:p>
        </w:tc>
        <w:tc>
          <w:tcPr>
            <w:tcW w:type="dxa" w:w="1247"/>
          </w:tcPr>
          <w:p>
            <w:r>
              <w:rPr>
                <w:rFonts w:ascii="Aptos" w:hAnsi="Aptos"/>
                <w:sz w:val="20"/>
              </w:rPr>
              <w:t>-0.15</w:t>
            </w:r>
          </w:p>
        </w:tc>
        <w:tc>
          <w:tcPr>
            <w:tcW w:type="dxa" w:w="1247"/>
          </w:tcPr>
          <w:p>
            <w:r>
              <w:rPr>
                <w:rFonts w:ascii="Aptos" w:hAnsi="Aptos"/>
                <w:sz w:val="20"/>
              </w:rPr>
              <w:t>-0.44</w:t>
            </w:r>
          </w:p>
        </w:tc>
        <w:tc>
          <w:tcPr>
            <w:tcW w:type="dxa" w:w="1247"/>
          </w:tcPr>
          <w:p>
            <w:r>
              <w:rPr>
                <w:rFonts w:ascii="Aptos" w:hAnsi="Aptos"/>
                <w:sz w:val="20"/>
              </w:rPr>
              <w:t>-0.58</w:t>
            </w:r>
          </w:p>
        </w:tc>
      </w:tr>
      <w:tr>
        <w:tc>
          <w:tcPr>
            <w:tcW w:type="dxa" w:w="2268"/>
          </w:tcPr>
          <w:p>
            <w:r>
              <w:rPr>
                <w:rFonts w:ascii="Aptos" w:hAnsi="Aptos"/>
                <w:sz w:val="20"/>
              </w:rPr>
              <w:t>Information Technology</w:t>
            </w:r>
          </w:p>
        </w:tc>
        <w:tc>
          <w:tcPr>
            <w:tcW w:type="dxa" w:w="1247"/>
          </w:tcPr>
          <w:p>
            <w:r>
              <w:rPr>
                <w:rFonts w:ascii="Aptos" w:hAnsi="Aptos"/>
                <w:sz w:val="20"/>
              </w:rPr>
              <w:t>24.4</w:t>
            </w:r>
          </w:p>
        </w:tc>
        <w:tc>
          <w:tcPr>
            <w:tcW w:type="dxa" w:w="1417"/>
          </w:tcPr>
          <w:p>
            <w:r>
              <w:rPr>
                <w:rFonts w:ascii="Aptos" w:hAnsi="Aptos"/>
                <w:sz w:val="20"/>
              </w:rPr>
              <w:t>29.5</w:t>
            </w:r>
          </w:p>
        </w:tc>
        <w:tc>
          <w:tcPr>
            <w:tcW w:type="dxa" w:w="1247"/>
          </w:tcPr>
          <w:p>
            <w:r>
              <w:rPr>
                <w:rFonts w:ascii="Aptos" w:hAnsi="Aptos"/>
                <w:sz w:val="20"/>
              </w:rPr>
              <w:t>-5.1</w:t>
            </w:r>
          </w:p>
        </w:tc>
        <w:tc>
          <w:tcPr>
            <w:tcW w:type="dxa" w:w="1247"/>
          </w:tcPr>
          <w:p>
            <w:r>
              <w:rPr>
                <w:rFonts w:ascii="Aptos" w:hAnsi="Aptos"/>
                <w:sz w:val="20"/>
              </w:rPr>
              <w:t>-0.18</w:t>
            </w:r>
          </w:p>
        </w:tc>
        <w:tc>
          <w:tcPr>
            <w:tcW w:type="dxa" w:w="1247"/>
          </w:tcPr>
          <w:p>
            <w:r>
              <w:rPr>
                <w:rFonts w:ascii="Aptos" w:hAnsi="Aptos"/>
                <w:sz w:val="20"/>
              </w:rPr>
              <w:t>-0.65</w:t>
            </w:r>
          </w:p>
        </w:tc>
        <w:tc>
          <w:tcPr>
            <w:tcW w:type="dxa" w:w="1247"/>
          </w:tcPr>
          <w:p>
            <w:r>
              <w:rPr>
                <w:rFonts w:ascii="Aptos" w:hAnsi="Aptos"/>
                <w:sz w:val="20"/>
              </w:rPr>
              <w:t>-0.83</w:t>
            </w:r>
          </w:p>
        </w:tc>
      </w:tr>
    </w:tbl>
    <w:p/>
    <w:p>
      <w:pPr>
        <w:pStyle w:val="Heading1"/>
      </w:pPr>
      <w:r>
        <w:rPr>
          <w:rFonts w:ascii="Aptos" w:hAnsi="Aptos"/>
          <w:color w:val="1A2E3B"/>
        </w:rPr>
        <w:t>Country</w:t>
      </w:r>
    </w:p>
    <w:tbl>
      <w:tblGrid>
        <w:gridCol w:w="2268"/>
        <w:gridCol w:w="1247"/>
        <w:gridCol w:w="1417"/>
        <w:gridCol w:w="1247"/>
        <w:gridCol w:w="1247"/>
        <w:gridCol w:w="1247"/>
        <w:gridCol w:w="1247"/>
      </w:tblGrid>
      <w:tblPr>
        <w:tblW w:type="auto" w:w="0"/>
        <w:jc w:val="left"/>
        <w:tblLayout w:type="fixed"/>
        <w:tblLook w:firstColumn="1" w:firstRow="1" w:lastColumn="0" w:lastRow="0" w:noHBand="0" w:noVBand="1" w:val="04A0"/>
      </w:tblPr>
      <w:tr>
        <w:tc>
          <w:tcPr>
            <w:tcW w:type="dxa" w:w="2268"/>
            <w:shd w:val="clear" w:color="auto" w:fill="E8EEEC"/>
          </w:tcPr>
          <w:p>
            <w:pPr>
              <w:jc w:val="left"/>
            </w:pPr>
            <w:r>
              <w:rPr>
                <w:rFonts w:ascii="Aptos" w:hAnsi="Aptos"/>
                <w:b/>
                <w:color w:val="1A2E3B"/>
                <w:sz w:val="20"/>
              </w:rPr>
            </w:r>
          </w:p>
        </w:tc>
        <w:tc>
          <w:tcPr>
            <w:tcW w:type="dxa" w:w="1247"/>
            <w:shd w:val="clear" w:color="auto" w:fill="E8EEEC"/>
          </w:tcPr>
          <w:p>
            <w:pPr>
              <w:jc w:val="left"/>
            </w:pPr>
            <w:r>
              <w:rPr>
                <w:rFonts w:ascii="Aptos" w:hAnsi="Aptos"/>
                <w:b/>
                <w:color w:val="1A2E3B"/>
                <w:sz w:val="20"/>
              </w:rPr>
              <w:t>Fund (%)</w:t>
            </w:r>
          </w:p>
        </w:tc>
        <w:tc>
          <w:tcPr>
            <w:tcW w:type="dxa" w:w="1417"/>
            <w:shd w:val="clear" w:color="auto" w:fill="E8EEEC"/>
          </w:tcPr>
          <w:p>
            <w:pPr>
              <w:jc w:val="left"/>
            </w:pPr>
            <w:r>
              <w:rPr>
                <w:rFonts w:ascii="Aptos" w:hAnsi="Aptos"/>
                <w:b/>
                <w:color w:val="1A2E3B"/>
                <w:sz w:val="20"/>
              </w:rPr>
              <w:t>Benchmark (%)</w:t>
            </w:r>
          </w:p>
        </w:tc>
        <w:tc>
          <w:tcPr>
            <w:tcW w:type="dxa" w:w="1247"/>
            <w:shd w:val="clear" w:color="auto" w:fill="E8EEEC"/>
          </w:tcPr>
          <w:p>
            <w:pPr>
              <w:jc w:val="left"/>
            </w:pPr>
            <w:r>
              <w:rPr>
                <w:rFonts w:ascii="Aptos" w:hAnsi="Aptos"/>
                <w:b/>
                <w:color w:val="1A2E3B"/>
                <w:sz w:val="20"/>
              </w:rPr>
              <w:t>Active (%)</w:t>
            </w:r>
          </w:p>
        </w:tc>
        <w:tc>
          <w:tcPr>
            <w:tcW w:type="dxa" w:w="1247"/>
            <w:shd w:val="clear" w:color="auto" w:fill="E8EEEC"/>
          </w:tcPr>
          <w:p>
            <w:pPr>
              <w:jc w:val="left"/>
            </w:pPr>
            <w:r>
              <w:rPr>
                <w:rFonts w:ascii="Aptos" w:hAnsi="Aptos"/>
                <w:b/>
                <w:color w:val="1A2E3B"/>
                <w:sz w:val="20"/>
              </w:rPr>
              <w:t>Alloc. (%)</w:t>
            </w:r>
          </w:p>
        </w:tc>
        <w:tc>
          <w:tcPr>
            <w:tcW w:type="dxa" w:w="1247"/>
            <w:shd w:val="clear" w:color="auto" w:fill="E8EEEC"/>
          </w:tcPr>
          <w:p>
            <w:pPr>
              <w:jc w:val="left"/>
            </w:pPr>
            <w:r>
              <w:rPr>
                <w:rFonts w:ascii="Aptos" w:hAnsi="Aptos"/>
                <w:b/>
                <w:color w:val="1A2E3B"/>
                <w:sz w:val="20"/>
              </w:rPr>
              <w:t>Select. (%)</w:t>
            </w:r>
          </w:p>
        </w:tc>
        <w:tc>
          <w:tcPr>
            <w:tcW w:type="dxa" w:w="1247"/>
            <w:shd w:val="clear" w:color="auto" w:fill="E8EEEC"/>
          </w:tcPr>
          <w:p>
            <w:pPr>
              <w:jc w:val="left"/>
            </w:pPr>
            <w:r>
              <w:rPr>
                <w:rFonts w:ascii="Aptos" w:hAnsi="Aptos"/>
                <w:b/>
                <w:color w:val="1A2E3B"/>
                <w:sz w:val="20"/>
              </w:rPr>
              <w:t>Total (%)</w:t>
            </w:r>
          </w:p>
        </w:tc>
      </w:tr>
      <w:tr>
        <w:tc>
          <w:tcPr>
            <w:tcW w:type="dxa" w:w="2268"/>
          </w:tcPr>
          <w:p>
            <w:r>
              <w:rPr>
                <w:rFonts w:ascii="Aptos" w:hAnsi="Aptos"/>
                <w:sz w:val="20"/>
              </w:rPr>
              <w:t>United States</w:t>
            </w:r>
          </w:p>
        </w:tc>
        <w:tc>
          <w:tcPr>
            <w:tcW w:type="dxa" w:w="1247"/>
          </w:tcPr>
          <w:p>
            <w:r>
              <w:rPr>
                <w:rFonts w:ascii="Aptos" w:hAnsi="Aptos"/>
                <w:sz w:val="20"/>
              </w:rPr>
              <w:t>61.6</w:t>
            </w:r>
          </w:p>
        </w:tc>
        <w:tc>
          <w:tcPr>
            <w:tcW w:type="dxa" w:w="1417"/>
          </w:tcPr>
          <w:p>
            <w:r>
              <w:rPr>
                <w:rFonts w:ascii="Aptos" w:hAnsi="Aptos"/>
                <w:sz w:val="20"/>
              </w:rPr>
              <w:t>72.0</w:t>
            </w:r>
          </w:p>
        </w:tc>
        <w:tc>
          <w:tcPr>
            <w:tcW w:type="dxa" w:w="1247"/>
          </w:tcPr>
          <w:p>
            <w:r>
              <w:rPr>
                <w:rFonts w:ascii="Aptos" w:hAnsi="Aptos"/>
                <w:sz w:val="20"/>
              </w:rPr>
              <w:t>-10.3</w:t>
            </w:r>
          </w:p>
        </w:tc>
        <w:tc>
          <w:tcPr>
            <w:tcW w:type="dxa" w:w="1247"/>
          </w:tcPr>
          <w:p>
            <w:r>
              <w:rPr>
                <w:rFonts w:ascii="Aptos" w:hAnsi="Aptos"/>
                <w:sz w:val="20"/>
              </w:rPr>
              <w:t>-0.02</w:t>
            </w:r>
          </w:p>
        </w:tc>
        <w:tc>
          <w:tcPr>
            <w:tcW w:type="dxa" w:w="1247"/>
          </w:tcPr>
          <w:p>
            <w:r>
              <w:rPr>
                <w:rFonts w:ascii="Aptos" w:hAnsi="Aptos"/>
                <w:sz w:val="20"/>
              </w:rPr>
              <w:t>-1.12</w:t>
            </w:r>
          </w:p>
        </w:tc>
        <w:tc>
          <w:tcPr>
            <w:tcW w:type="dxa" w:w="1247"/>
          </w:tcPr>
          <w:p>
            <w:r>
              <w:rPr>
                <w:rFonts w:ascii="Aptos" w:hAnsi="Aptos"/>
                <w:sz w:val="20"/>
              </w:rPr>
              <w:t>-1.14</w:t>
            </w:r>
          </w:p>
        </w:tc>
      </w:tr>
      <w:tr>
        <w:tc>
          <w:tcPr>
            <w:tcW w:type="dxa" w:w="2268"/>
          </w:tcPr>
          <w:p>
            <w:r>
              <w:rPr>
                <w:rFonts w:ascii="Aptos" w:hAnsi="Aptos"/>
                <w:sz w:val="20"/>
              </w:rPr>
              <w:t>Japan</w:t>
            </w:r>
          </w:p>
        </w:tc>
        <w:tc>
          <w:tcPr>
            <w:tcW w:type="dxa" w:w="1247"/>
          </w:tcPr>
          <w:p>
            <w:r>
              <w:rPr>
                <w:rFonts w:ascii="Aptos" w:hAnsi="Aptos"/>
                <w:sz w:val="20"/>
              </w:rPr>
              <w:t>8.7</w:t>
            </w:r>
          </w:p>
        </w:tc>
        <w:tc>
          <w:tcPr>
            <w:tcW w:type="dxa" w:w="1417"/>
          </w:tcPr>
          <w:p>
            <w:r>
              <w:rPr>
                <w:rFonts w:ascii="Aptos" w:hAnsi="Aptos"/>
                <w:sz w:val="20"/>
              </w:rPr>
              <w:t>5.7</w:t>
            </w:r>
          </w:p>
        </w:tc>
        <w:tc>
          <w:tcPr>
            <w:tcW w:type="dxa" w:w="1247"/>
          </w:tcPr>
          <w:p>
            <w:r>
              <w:rPr>
                <w:rFonts w:ascii="Aptos" w:hAnsi="Aptos"/>
                <w:sz w:val="20"/>
              </w:rPr>
              <w:t>+3.0</w:t>
            </w:r>
          </w:p>
        </w:tc>
        <w:tc>
          <w:tcPr>
            <w:tcW w:type="dxa" w:w="1247"/>
          </w:tcPr>
          <w:p>
            <w:r>
              <w:rPr>
                <w:rFonts w:ascii="Aptos" w:hAnsi="Aptos"/>
                <w:sz w:val="20"/>
              </w:rPr>
              <w:t>+0.02</w:t>
            </w:r>
          </w:p>
        </w:tc>
        <w:tc>
          <w:tcPr>
            <w:tcW w:type="dxa" w:w="1247"/>
          </w:tcPr>
          <w:p>
            <w:r>
              <w:rPr>
                <w:rFonts w:ascii="Aptos" w:hAnsi="Aptos"/>
                <w:sz w:val="20"/>
              </w:rPr>
              <w:t>-0.58</w:t>
            </w:r>
          </w:p>
        </w:tc>
        <w:tc>
          <w:tcPr>
            <w:tcW w:type="dxa" w:w="1247"/>
          </w:tcPr>
          <w:p>
            <w:r>
              <w:rPr>
                <w:rFonts w:ascii="Aptos" w:hAnsi="Aptos"/>
                <w:sz w:val="20"/>
              </w:rPr>
              <w:t>-0.56</w:t>
            </w:r>
          </w:p>
        </w:tc>
      </w:tr>
      <w:tr>
        <w:tc>
          <w:tcPr>
            <w:tcW w:type="dxa" w:w="2268"/>
          </w:tcPr>
          <w:p>
            <w:r>
              <w:rPr>
                <w:rFonts w:ascii="Aptos" w:hAnsi="Aptos"/>
                <w:sz w:val="20"/>
              </w:rPr>
              <w:t>Australia</w:t>
            </w:r>
          </w:p>
        </w:tc>
        <w:tc>
          <w:tcPr>
            <w:tcW w:type="dxa" w:w="1247"/>
          </w:tcPr>
          <w:p>
            <w:r>
              <w:rPr>
                <w:rFonts w:ascii="Aptos" w:hAnsi="Aptos"/>
                <w:sz w:val="20"/>
              </w:rPr>
              <w:t>3.2</w:t>
            </w:r>
          </w:p>
        </w:tc>
        <w:tc>
          <w:tcPr>
            <w:tcW w:type="dxa" w:w="1417"/>
          </w:tcPr>
          <w:p>
            <w:r>
              <w:rPr>
                <w:rFonts w:ascii="Aptos" w:hAnsi="Aptos"/>
                <w:sz w:val="20"/>
              </w:rPr>
              <w:t>1.6</w:t>
            </w:r>
          </w:p>
        </w:tc>
        <w:tc>
          <w:tcPr>
            <w:tcW w:type="dxa" w:w="1247"/>
          </w:tcPr>
          <w:p>
            <w:r>
              <w:rPr>
                <w:rFonts w:ascii="Aptos" w:hAnsi="Aptos"/>
                <w:sz w:val="20"/>
              </w:rPr>
              <w:t>+1.5</w:t>
            </w:r>
          </w:p>
        </w:tc>
        <w:tc>
          <w:tcPr>
            <w:tcW w:type="dxa" w:w="1247"/>
          </w:tcPr>
          <w:p>
            <w:r>
              <w:rPr>
                <w:rFonts w:ascii="Aptos" w:hAnsi="Aptos"/>
                <w:sz w:val="20"/>
              </w:rPr>
              <w:t>+0.02</w:t>
            </w:r>
          </w:p>
        </w:tc>
        <w:tc>
          <w:tcPr>
            <w:tcW w:type="dxa" w:w="1247"/>
          </w:tcPr>
          <w:p>
            <w:r>
              <w:rPr>
                <w:rFonts w:ascii="Aptos" w:hAnsi="Aptos"/>
                <w:sz w:val="20"/>
              </w:rPr>
              <w:t>+0.25</w:t>
            </w:r>
          </w:p>
        </w:tc>
        <w:tc>
          <w:tcPr>
            <w:tcW w:type="dxa" w:w="1247"/>
          </w:tcPr>
          <w:p>
            <w:r>
              <w:rPr>
                <w:rFonts w:ascii="Aptos" w:hAnsi="Aptos"/>
                <w:sz w:val="20"/>
              </w:rPr>
              <w:t>+0.26</w:t>
            </w:r>
          </w:p>
        </w:tc>
      </w:tr>
      <w:tr>
        <w:tc>
          <w:tcPr>
            <w:tcW w:type="dxa" w:w="2268"/>
          </w:tcPr>
          <w:p>
            <w:r>
              <w:rPr>
                <w:rFonts w:ascii="Aptos" w:hAnsi="Aptos"/>
                <w:sz w:val="20"/>
              </w:rPr>
              <w:t>Germany</w:t>
            </w:r>
          </w:p>
        </w:tc>
        <w:tc>
          <w:tcPr>
            <w:tcW w:type="dxa" w:w="1247"/>
          </w:tcPr>
          <w:p>
            <w:r>
              <w:rPr>
                <w:rFonts w:ascii="Aptos" w:hAnsi="Aptos"/>
                <w:sz w:val="20"/>
              </w:rPr>
              <w:t>3.8</w:t>
            </w:r>
          </w:p>
        </w:tc>
        <w:tc>
          <w:tcPr>
            <w:tcW w:type="dxa" w:w="1417"/>
          </w:tcPr>
          <w:p>
            <w:r>
              <w:rPr>
                <w:rFonts w:ascii="Aptos" w:hAnsi="Aptos"/>
                <w:sz w:val="20"/>
              </w:rPr>
              <w:t>2.2</w:t>
            </w:r>
          </w:p>
        </w:tc>
        <w:tc>
          <w:tcPr>
            <w:tcW w:type="dxa" w:w="1247"/>
          </w:tcPr>
          <w:p>
            <w:r>
              <w:rPr>
                <w:rFonts w:ascii="Aptos" w:hAnsi="Aptos"/>
                <w:sz w:val="20"/>
              </w:rPr>
              <w:t>+1.6</w:t>
            </w:r>
          </w:p>
        </w:tc>
        <w:tc>
          <w:tcPr>
            <w:tcW w:type="dxa" w:w="1247"/>
          </w:tcPr>
          <w:p>
            <w:r>
              <w:rPr>
                <w:rFonts w:ascii="Aptos" w:hAnsi="Aptos"/>
                <w:sz w:val="20"/>
              </w:rPr>
              <w:t>+0.02</w:t>
            </w:r>
          </w:p>
        </w:tc>
        <w:tc>
          <w:tcPr>
            <w:tcW w:type="dxa" w:w="1247"/>
          </w:tcPr>
          <w:p>
            <w:r>
              <w:rPr>
                <w:rFonts w:ascii="Aptos" w:hAnsi="Aptos"/>
                <w:sz w:val="20"/>
              </w:rPr>
              <w:t>+0.11</w:t>
            </w:r>
          </w:p>
        </w:tc>
        <w:tc>
          <w:tcPr>
            <w:tcW w:type="dxa" w:w="1247"/>
          </w:tcPr>
          <w:p>
            <w:r>
              <w:rPr>
                <w:rFonts w:ascii="Aptos" w:hAnsi="Aptos"/>
                <w:sz w:val="20"/>
              </w:rPr>
              <w:t>+0.13</w:t>
            </w:r>
          </w:p>
        </w:tc>
      </w:tr>
      <w:tr>
        <w:tc>
          <w:tcPr>
            <w:tcW w:type="dxa" w:w="2268"/>
          </w:tcPr>
          <w:p>
            <w:r>
              <w:rPr>
                <w:rFonts w:ascii="Aptos" w:hAnsi="Aptos"/>
                <w:sz w:val="20"/>
              </w:rPr>
              <w:t>Canada</w:t>
            </w:r>
          </w:p>
        </w:tc>
        <w:tc>
          <w:tcPr>
            <w:tcW w:type="dxa" w:w="1247"/>
          </w:tcPr>
          <w:p>
            <w:r>
              <w:rPr>
                <w:rFonts w:ascii="Aptos" w:hAnsi="Aptos"/>
                <w:sz w:val="20"/>
              </w:rPr>
              <w:t>3.2</w:t>
            </w:r>
          </w:p>
        </w:tc>
        <w:tc>
          <w:tcPr>
            <w:tcW w:type="dxa" w:w="1417"/>
          </w:tcPr>
          <w:p>
            <w:r>
              <w:rPr>
                <w:rFonts w:ascii="Aptos" w:hAnsi="Aptos"/>
                <w:sz w:val="20"/>
              </w:rPr>
              <w:t>3.5</w:t>
            </w:r>
          </w:p>
        </w:tc>
        <w:tc>
          <w:tcPr>
            <w:tcW w:type="dxa" w:w="1247"/>
          </w:tcPr>
          <w:p>
            <w:r>
              <w:rPr>
                <w:rFonts w:ascii="Aptos" w:hAnsi="Aptos"/>
                <w:sz w:val="20"/>
              </w:rPr>
              <w:t>-0.3</w:t>
            </w:r>
          </w:p>
        </w:tc>
        <w:tc>
          <w:tcPr>
            <w:tcW w:type="dxa" w:w="1247"/>
          </w:tcPr>
          <w:p>
            <w:r>
              <w:rPr>
                <w:rFonts w:ascii="Aptos" w:hAnsi="Aptos"/>
                <w:sz w:val="20"/>
              </w:rPr>
              <w:t>+0.02</w:t>
            </w:r>
          </w:p>
        </w:tc>
        <w:tc>
          <w:tcPr>
            <w:tcW w:type="dxa" w:w="1247"/>
          </w:tcPr>
          <w:p>
            <w:r>
              <w:rPr>
                <w:rFonts w:ascii="Aptos" w:hAnsi="Aptos"/>
                <w:sz w:val="20"/>
              </w:rPr>
              <w:t>-0.11</w:t>
            </w:r>
          </w:p>
        </w:tc>
        <w:tc>
          <w:tcPr>
            <w:tcW w:type="dxa" w:w="1247"/>
          </w:tcPr>
          <w:p>
            <w:r>
              <w:rPr>
                <w:rFonts w:ascii="Aptos" w:hAnsi="Aptos"/>
                <w:sz w:val="20"/>
              </w:rPr>
              <w:t>-0.09</w:t>
            </w:r>
          </w:p>
        </w:tc>
      </w:tr>
      <w:tr>
        <w:tc>
          <w:tcPr>
            <w:tcW w:type="dxa" w:w="2268"/>
          </w:tcPr>
          <w:p>
            <w:r>
              <w:rPr>
                <w:rFonts w:ascii="Aptos" w:hAnsi="Aptos"/>
                <w:sz w:val="20"/>
              </w:rPr>
              <w:t>France</w:t>
            </w:r>
          </w:p>
        </w:tc>
        <w:tc>
          <w:tcPr>
            <w:tcW w:type="dxa" w:w="1247"/>
          </w:tcPr>
          <w:p>
            <w:r>
              <w:rPr>
                <w:rFonts w:ascii="Aptos" w:hAnsi="Aptos"/>
                <w:sz w:val="20"/>
              </w:rPr>
              <w:t>10.2</w:t>
            </w:r>
          </w:p>
        </w:tc>
        <w:tc>
          <w:tcPr>
            <w:tcW w:type="dxa" w:w="1417"/>
          </w:tcPr>
          <w:p>
            <w:r>
              <w:rPr>
                <w:rFonts w:ascii="Aptos" w:hAnsi="Aptos"/>
                <w:sz w:val="20"/>
              </w:rPr>
              <w:t>2.4</w:t>
            </w:r>
          </w:p>
        </w:tc>
        <w:tc>
          <w:tcPr>
            <w:tcW w:type="dxa" w:w="1247"/>
          </w:tcPr>
          <w:p>
            <w:r>
              <w:rPr>
                <w:rFonts w:ascii="Aptos" w:hAnsi="Aptos"/>
                <w:sz w:val="20"/>
              </w:rPr>
              <w:t>+7.8</w:t>
            </w:r>
          </w:p>
        </w:tc>
        <w:tc>
          <w:tcPr>
            <w:tcW w:type="dxa" w:w="1247"/>
          </w:tcPr>
          <w:p>
            <w:r>
              <w:rPr>
                <w:rFonts w:ascii="Aptos" w:hAnsi="Aptos"/>
                <w:sz w:val="20"/>
              </w:rPr>
              <w:t>-0.29</w:t>
            </w:r>
          </w:p>
        </w:tc>
        <w:tc>
          <w:tcPr>
            <w:tcW w:type="dxa" w:w="1247"/>
          </w:tcPr>
          <w:p>
            <w:r>
              <w:rPr>
                <w:rFonts w:ascii="Aptos" w:hAnsi="Aptos"/>
                <w:sz w:val="20"/>
              </w:rPr>
              <w:t>+0.19</w:t>
            </w:r>
          </w:p>
        </w:tc>
        <w:tc>
          <w:tcPr>
            <w:tcW w:type="dxa" w:w="1247"/>
          </w:tcPr>
          <w:p>
            <w:r>
              <w:rPr>
                <w:rFonts w:ascii="Aptos" w:hAnsi="Aptos"/>
                <w:sz w:val="20"/>
              </w:rPr>
              <w:t>-0.09</w:t>
            </w:r>
          </w:p>
        </w:tc>
      </w:tr>
      <w:tr>
        <w:tc>
          <w:tcPr>
            <w:tcW w:type="dxa" w:w="2268"/>
          </w:tcPr>
          <w:p>
            <w:r>
              <w:rPr>
                <w:rFonts w:ascii="Aptos" w:hAnsi="Aptos"/>
                <w:sz w:val="20"/>
              </w:rPr>
              <w:t>United Kingdom</w:t>
            </w:r>
          </w:p>
        </w:tc>
        <w:tc>
          <w:tcPr>
            <w:tcW w:type="dxa" w:w="1247"/>
          </w:tcPr>
          <w:p>
            <w:r>
              <w:rPr>
                <w:rFonts w:ascii="Aptos" w:hAnsi="Aptos"/>
                <w:sz w:val="20"/>
              </w:rPr>
              <w:t>2.1</w:t>
            </w:r>
          </w:p>
        </w:tc>
        <w:tc>
          <w:tcPr>
            <w:tcW w:type="dxa" w:w="1417"/>
          </w:tcPr>
          <w:p>
            <w:r>
              <w:rPr>
                <w:rFonts w:ascii="Aptos" w:hAnsi="Aptos"/>
                <w:sz w:val="20"/>
              </w:rPr>
              <w:t>3.5</w:t>
            </w:r>
          </w:p>
        </w:tc>
        <w:tc>
          <w:tcPr>
            <w:tcW w:type="dxa" w:w="1247"/>
          </w:tcPr>
          <w:p>
            <w:r>
              <w:rPr>
                <w:rFonts w:ascii="Aptos" w:hAnsi="Aptos"/>
                <w:sz w:val="20"/>
              </w:rPr>
              <w:t>-1.4</w:t>
            </w:r>
          </w:p>
        </w:tc>
        <w:tc>
          <w:tcPr>
            <w:tcW w:type="dxa" w:w="1247"/>
          </w:tcPr>
          <w:p>
            <w:r>
              <w:rPr>
                <w:rFonts w:ascii="Aptos" w:hAnsi="Aptos"/>
                <w:sz w:val="20"/>
              </w:rPr>
              <w:t>+0.03</w:t>
            </w:r>
          </w:p>
        </w:tc>
        <w:tc>
          <w:tcPr>
            <w:tcW w:type="dxa" w:w="1247"/>
          </w:tcPr>
          <w:p>
            <w:r>
              <w:rPr>
                <w:rFonts w:ascii="Aptos" w:hAnsi="Aptos"/>
                <w:sz w:val="20"/>
              </w:rPr>
              <w:t>-0.10</w:t>
            </w:r>
          </w:p>
        </w:tc>
        <w:tc>
          <w:tcPr>
            <w:tcW w:type="dxa" w:w="1247"/>
          </w:tcPr>
          <w:p>
            <w:r>
              <w:rPr>
                <w:rFonts w:ascii="Aptos" w:hAnsi="Aptos"/>
                <w:sz w:val="20"/>
              </w:rPr>
              <w:t>-0.07</w:t>
            </w:r>
          </w:p>
        </w:tc>
      </w:tr>
      <w:tr>
        <w:tc>
          <w:tcPr>
            <w:tcW w:type="dxa" w:w="2268"/>
          </w:tcPr>
          <w:p>
            <w:r>
              <w:rPr>
                <w:rFonts w:ascii="Aptos" w:hAnsi="Aptos"/>
                <w:sz w:val="20"/>
              </w:rPr>
              <w:t>Switzerland</w:t>
            </w:r>
          </w:p>
        </w:tc>
        <w:tc>
          <w:tcPr>
            <w:tcW w:type="dxa" w:w="1247"/>
          </w:tcPr>
          <w:p>
            <w:r>
              <w:rPr>
                <w:rFonts w:ascii="Aptos" w:hAnsi="Aptos"/>
                <w:sz w:val="20"/>
              </w:rPr>
              <w:t>0.0</w:t>
            </w:r>
          </w:p>
        </w:tc>
        <w:tc>
          <w:tcPr>
            <w:tcW w:type="dxa" w:w="1417"/>
          </w:tcPr>
          <w:p>
            <w:r>
              <w:rPr>
                <w:rFonts w:ascii="Aptos" w:hAnsi="Aptos"/>
                <w:sz w:val="20"/>
              </w:rPr>
              <w:t>2.3</w:t>
            </w:r>
          </w:p>
        </w:tc>
        <w:tc>
          <w:tcPr>
            <w:tcW w:type="dxa" w:w="1247"/>
          </w:tcPr>
          <w:p>
            <w:r>
              <w:rPr>
                <w:rFonts w:ascii="Aptos" w:hAnsi="Aptos"/>
                <w:sz w:val="20"/>
              </w:rPr>
              <w:t>-2.3</w:t>
            </w:r>
          </w:p>
        </w:tc>
        <w:tc>
          <w:tcPr>
            <w:tcW w:type="dxa" w:w="1247"/>
          </w:tcPr>
          <w:p>
            <w:r>
              <w:rPr>
                <w:rFonts w:ascii="Aptos" w:hAnsi="Aptos"/>
                <w:sz w:val="20"/>
              </w:rPr>
              <w:t>+0.06</w:t>
            </w:r>
          </w:p>
        </w:tc>
        <w:tc>
          <w:tcPr>
            <w:tcW w:type="dxa" w:w="1247"/>
          </w:tcPr>
          <w:p>
            <w:r>
              <w:rPr>
                <w:rFonts w:ascii="Aptos" w:hAnsi="Aptos"/>
                <w:sz w:val="20"/>
              </w:rPr>
              <w:t>+0.00</w:t>
            </w:r>
          </w:p>
        </w:tc>
        <w:tc>
          <w:tcPr>
            <w:tcW w:type="dxa" w:w="1247"/>
          </w:tcPr>
          <w:p>
            <w:r>
              <w:rPr>
                <w:rFonts w:ascii="Aptos" w:hAnsi="Aptos"/>
                <w:sz w:val="20"/>
              </w:rPr>
              <w:t>+0.06</w:t>
            </w:r>
          </w:p>
        </w:tc>
      </w:tr>
      <w:tr>
        <w:tc>
          <w:tcPr>
            <w:tcW w:type="dxa" w:w="2268"/>
          </w:tcPr>
          <w:p>
            <w:r>
              <w:rPr>
                <w:rFonts w:ascii="Aptos" w:hAnsi="Aptos"/>
                <w:sz w:val="20"/>
              </w:rPr>
              <w:t>All other countries</w:t>
            </w:r>
          </w:p>
        </w:tc>
        <w:tc>
          <w:tcPr>
            <w:tcW w:type="dxa" w:w="1247"/>
          </w:tcPr>
          <w:p>
            <w:r>
              <w:rPr>
                <w:rFonts w:ascii="Aptos" w:hAnsi="Aptos"/>
                <w:sz w:val="20"/>
              </w:rPr>
              <w:t>7.2</w:t>
            </w:r>
          </w:p>
        </w:tc>
        <w:tc>
          <w:tcPr>
            <w:tcW w:type="dxa" w:w="1417"/>
          </w:tcPr>
          <w:p>
            <w:r>
              <w:rPr>
                <w:rFonts w:ascii="Aptos" w:hAnsi="Aptos"/>
                <w:sz w:val="20"/>
              </w:rPr>
              <w:t>6.8</w:t>
            </w:r>
          </w:p>
        </w:tc>
        <w:tc>
          <w:tcPr>
            <w:tcW w:type="dxa" w:w="1247"/>
          </w:tcPr>
          <w:p>
            <w:r>
              <w:rPr>
                <w:rFonts w:ascii="Aptos" w:hAnsi="Aptos"/>
                <w:sz w:val="20"/>
              </w:rPr>
              <w:t>+0.4</w:t>
            </w:r>
          </w:p>
        </w:tc>
        <w:tc>
          <w:tcPr>
            <w:tcW w:type="dxa" w:w="1247"/>
          </w:tcPr>
          <w:p>
            <w:r>
              <w:rPr>
                <w:rFonts w:ascii="Aptos" w:hAnsi="Aptos"/>
                <w:sz w:val="20"/>
              </w:rPr>
              <w:t>+0.10</w:t>
            </w:r>
          </w:p>
        </w:tc>
        <w:tc>
          <w:tcPr>
            <w:tcW w:type="dxa" w:w="1247"/>
          </w:tcPr>
          <w:p>
            <w:r>
              <w:rPr>
                <w:rFonts w:ascii="Aptos" w:hAnsi="Aptos"/>
                <w:sz w:val="20"/>
              </w:rPr>
              <w:t>-0.04</w:t>
            </w:r>
          </w:p>
        </w:tc>
        <w:tc>
          <w:tcPr>
            <w:tcW w:type="dxa" w:w="1247"/>
          </w:tcPr>
          <w:p>
            <w:r>
              <w:rPr>
                <w:rFonts w:ascii="Aptos" w:hAnsi="Aptos"/>
                <w:sz w:val="20"/>
              </w:rPr>
              <w:t>+0.06</w:t>
            </w:r>
          </w:p>
        </w:tc>
      </w:tr>
    </w:tbl>
    <w:p/>
    <w:p>
      <w:pPr>
        <w:pStyle w:val="Heading1"/>
      </w:pPr>
      <w:r>
        <w:rPr>
          <w:rFonts w:ascii="Aptos" w:hAnsi="Aptos"/>
          <w:color w:val="1A2E3B"/>
        </w:rPr>
        <w:t>Holding</w:t>
      </w:r>
    </w:p>
    <w:tbl>
      <w:tblGrid>
        <w:gridCol w:w="2268"/>
        <w:gridCol w:w="1247"/>
        <w:gridCol w:w="1417"/>
        <w:gridCol w:w="1247"/>
        <w:gridCol w:w="1247"/>
        <w:gridCol w:w="1247"/>
        <w:gridCol w:w="1247"/>
      </w:tblGrid>
      <w:tblPr>
        <w:tblW w:type="auto" w:w="0"/>
        <w:jc w:val="left"/>
        <w:tblLayout w:type="fixed"/>
        <w:tblLook w:firstColumn="1" w:firstRow="1" w:lastColumn="0" w:lastRow="0" w:noHBand="0" w:noVBand="1" w:val="04A0"/>
      </w:tblPr>
      <w:tr>
        <w:tc>
          <w:tcPr>
            <w:tcW w:type="dxa" w:w="2268"/>
            <w:shd w:val="clear" w:color="auto" w:fill="E8EEEC"/>
          </w:tcPr>
          <w:p>
            <w:pPr>
              <w:jc w:val="left"/>
            </w:pPr>
            <w:r>
              <w:rPr>
                <w:rFonts w:ascii="Aptos" w:hAnsi="Aptos"/>
                <w:b/>
                <w:color w:val="1A2E3B"/>
                <w:sz w:val="20"/>
              </w:rPr>
            </w:r>
          </w:p>
        </w:tc>
        <w:tc>
          <w:tcPr>
            <w:tcW w:type="dxa" w:w="1247"/>
            <w:shd w:val="clear" w:color="auto" w:fill="E8EEEC"/>
          </w:tcPr>
          <w:p>
            <w:pPr>
              <w:jc w:val="left"/>
            </w:pPr>
            <w:r>
              <w:rPr>
                <w:rFonts w:ascii="Aptos" w:hAnsi="Aptos"/>
                <w:b/>
                <w:color w:val="1A2E3B"/>
                <w:sz w:val="20"/>
              </w:rPr>
              <w:t>Fund (%)</w:t>
            </w:r>
          </w:p>
        </w:tc>
        <w:tc>
          <w:tcPr>
            <w:tcW w:type="dxa" w:w="1417"/>
            <w:shd w:val="clear" w:color="auto" w:fill="E8EEEC"/>
          </w:tcPr>
          <w:p>
            <w:pPr>
              <w:jc w:val="left"/>
            </w:pPr>
            <w:r>
              <w:rPr>
                <w:rFonts w:ascii="Aptos" w:hAnsi="Aptos"/>
                <w:b/>
                <w:color w:val="1A2E3B"/>
                <w:sz w:val="20"/>
              </w:rPr>
              <w:t>Benchmark (%)</w:t>
            </w:r>
          </w:p>
        </w:tc>
        <w:tc>
          <w:tcPr>
            <w:tcW w:type="dxa" w:w="1247"/>
            <w:shd w:val="clear" w:color="auto" w:fill="E8EEEC"/>
          </w:tcPr>
          <w:p>
            <w:pPr>
              <w:jc w:val="left"/>
            </w:pPr>
            <w:r>
              <w:rPr>
                <w:rFonts w:ascii="Aptos" w:hAnsi="Aptos"/>
                <w:b/>
                <w:color w:val="1A2E3B"/>
                <w:sz w:val="20"/>
              </w:rPr>
              <w:t>Active (%)</w:t>
            </w:r>
          </w:p>
        </w:tc>
        <w:tc>
          <w:tcPr>
            <w:tcW w:type="dxa" w:w="1247"/>
            <w:shd w:val="clear" w:color="auto" w:fill="E8EEEC"/>
          </w:tcPr>
          <w:p>
            <w:pPr>
              <w:jc w:val="left"/>
            </w:pPr>
            <w:r>
              <w:rPr>
                <w:rFonts w:ascii="Aptos" w:hAnsi="Aptos"/>
                <w:b/>
                <w:color w:val="1A2E3B"/>
                <w:sz w:val="20"/>
              </w:rPr>
              <w:t>Alloc. (%)</w:t>
            </w:r>
          </w:p>
        </w:tc>
        <w:tc>
          <w:tcPr>
            <w:tcW w:type="dxa" w:w="1247"/>
            <w:shd w:val="clear" w:color="auto" w:fill="E8EEEC"/>
          </w:tcPr>
          <w:p>
            <w:pPr>
              <w:jc w:val="left"/>
            </w:pPr>
            <w:r>
              <w:rPr>
                <w:rFonts w:ascii="Aptos" w:hAnsi="Aptos"/>
                <w:b/>
                <w:color w:val="1A2E3B"/>
                <w:sz w:val="20"/>
              </w:rPr>
              <w:t>Select. (%)</w:t>
            </w:r>
          </w:p>
        </w:tc>
        <w:tc>
          <w:tcPr>
            <w:tcW w:type="dxa" w:w="1247"/>
            <w:shd w:val="clear" w:color="auto" w:fill="E8EEEC"/>
          </w:tcPr>
          <w:p>
            <w:pPr>
              <w:jc w:val="left"/>
            </w:pPr>
            <w:r>
              <w:rPr>
                <w:rFonts w:ascii="Aptos" w:hAnsi="Aptos"/>
                <w:b/>
                <w:color w:val="1A2E3B"/>
                <w:sz w:val="20"/>
              </w:rPr>
              <w:t>Total (%)</w:t>
            </w:r>
          </w:p>
        </w:tc>
      </w:tr>
      <w:tr>
        <w:tc>
          <w:tcPr>
            <w:tcW w:type="dxa" w:w="2268"/>
          </w:tcPr>
          <w:p>
            <w:r>
              <w:rPr>
                <w:rFonts w:ascii="Aptos" w:hAnsi="Aptos"/>
                <w:sz w:val="20"/>
              </w:rPr>
              <w:t>BHP Group Ltd</w:t>
            </w:r>
          </w:p>
        </w:tc>
        <w:tc>
          <w:tcPr>
            <w:tcW w:type="dxa" w:w="1247"/>
          </w:tcPr>
          <w:p>
            <w:r>
              <w:rPr>
                <w:rFonts w:ascii="Aptos" w:hAnsi="Aptos"/>
                <w:sz w:val="20"/>
              </w:rPr>
              <w:t>3.2</w:t>
            </w:r>
          </w:p>
        </w:tc>
        <w:tc>
          <w:tcPr>
            <w:tcW w:type="dxa" w:w="1417"/>
          </w:tcPr>
          <w:p>
            <w:r>
              <w:rPr>
                <w:rFonts w:ascii="Aptos" w:hAnsi="Aptos"/>
                <w:sz w:val="20"/>
              </w:rPr>
              <w:t>0.2</w:t>
            </w:r>
          </w:p>
        </w:tc>
        <w:tc>
          <w:tcPr>
            <w:tcW w:type="dxa" w:w="1247"/>
          </w:tcPr>
          <w:p>
            <w:r>
              <w:rPr>
                <w:rFonts w:ascii="Aptos" w:hAnsi="Aptos"/>
                <w:sz w:val="20"/>
              </w:rPr>
              <w:t>+2.9</w:t>
            </w:r>
          </w:p>
        </w:tc>
        <w:tc>
          <w:tcPr>
            <w:tcW w:type="dxa" w:w="1247"/>
          </w:tcPr>
          <w:p>
            <w:r>
              <w:rPr>
                <w:rFonts w:ascii="Aptos" w:hAnsi="Aptos"/>
                <w:sz w:val="20"/>
              </w:rPr>
              <w:t>+0.29</w:t>
            </w:r>
          </w:p>
        </w:tc>
        <w:tc>
          <w:tcPr>
            <w:tcW w:type="dxa" w:w="1247"/>
          </w:tcPr>
          <w:p>
            <w:r>
              <w:rPr>
                <w:rFonts w:ascii="Aptos" w:hAnsi="Aptos"/>
                <w:sz w:val="20"/>
              </w:rPr>
              <w:t>-0.03</w:t>
            </w:r>
          </w:p>
        </w:tc>
        <w:tc>
          <w:tcPr>
            <w:tcW w:type="dxa" w:w="1247"/>
          </w:tcPr>
          <w:p>
            <w:r>
              <w:rPr>
                <w:rFonts w:ascii="Aptos" w:hAnsi="Aptos"/>
                <w:sz w:val="20"/>
              </w:rPr>
              <w:t>+0.26</w:t>
            </w:r>
          </w:p>
        </w:tc>
      </w:tr>
      <w:tr>
        <w:tc>
          <w:tcPr>
            <w:tcW w:type="dxa" w:w="2268"/>
          </w:tcPr>
          <w:p>
            <w:r>
              <w:rPr>
                <w:rFonts w:ascii="Aptos" w:hAnsi="Aptos"/>
                <w:sz w:val="20"/>
              </w:rPr>
              <w:t>Merck &amp; Co., Inc.</w:t>
            </w:r>
          </w:p>
        </w:tc>
        <w:tc>
          <w:tcPr>
            <w:tcW w:type="dxa" w:w="1247"/>
          </w:tcPr>
          <w:p>
            <w:r>
              <w:rPr>
                <w:rFonts w:ascii="Aptos" w:hAnsi="Aptos"/>
                <w:sz w:val="20"/>
              </w:rPr>
              <w:t>2.8</w:t>
            </w:r>
          </w:p>
        </w:tc>
        <w:tc>
          <w:tcPr>
            <w:tcW w:type="dxa" w:w="1417"/>
          </w:tcPr>
          <w:p>
            <w:r>
              <w:rPr>
                <w:rFonts w:ascii="Aptos" w:hAnsi="Aptos"/>
                <w:sz w:val="20"/>
              </w:rPr>
              <w:t>0.4</w:t>
            </w:r>
          </w:p>
        </w:tc>
        <w:tc>
          <w:tcPr>
            <w:tcW w:type="dxa" w:w="1247"/>
          </w:tcPr>
          <w:p>
            <w:r>
              <w:rPr>
                <w:rFonts w:ascii="Aptos" w:hAnsi="Aptos"/>
                <w:sz w:val="20"/>
              </w:rPr>
              <w:t>+2.5</w:t>
            </w:r>
          </w:p>
        </w:tc>
        <w:tc>
          <w:tcPr>
            <w:tcW w:type="dxa" w:w="1247"/>
          </w:tcPr>
          <w:p>
            <w:r>
              <w:rPr>
                <w:rFonts w:ascii="Aptos" w:hAnsi="Aptos"/>
                <w:sz w:val="20"/>
              </w:rPr>
              <w:t>+0.26</w:t>
            </w:r>
          </w:p>
        </w:tc>
        <w:tc>
          <w:tcPr>
            <w:tcW w:type="dxa" w:w="1247"/>
          </w:tcPr>
          <w:p>
            <w:r>
              <w:rPr>
                <w:rFonts w:ascii="Aptos" w:hAnsi="Aptos"/>
                <w:sz w:val="20"/>
              </w:rPr>
              <w:t>+0.00</w:t>
            </w:r>
          </w:p>
        </w:tc>
        <w:tc>
          <w:tcPr>
            <w:tcW w:type="dxa" w:w="1247"/>
          </w:tcPr>
          <w:p>
            <w:r>
              <w:rPr>
                <w:rFonts w:ascii="Aptos" w:hAnsi="Aptos"/>
                <w:sz w:val="20"/>
              </w:rPr>
              <w:t>+0.26</w:t>
            </w:r>
          </w:p>
        </w:tc>
      </w:tr>
      <w:tr>
        <w:tc>
          <w:tcPr>
            <w:tcW w:type="dxa" w:w="2268"/>
          </w:tcPr>
          <w:p>
            <w:r>
              <w:rPr>
                <w:rFonts w:ascii="Aptos" w:hAnsi="Aptos"/>
                <w:sz w:val="20"/>
              </w:rPr>
              <w:t>SAP SE</w:t>
            </w:r>
          </w:p>
        </w:tc>
        <w:tc>
          <w:tcPr>
            <w:tcW w:type="dxa" w:w="1247"/>
          </w:tcPr>
          <w:p>
            <w:r>
              <w:rPr>
                <w:rFonts w:ascii="Aptos" w:hAnsi="Aptos"/>
                <w:sz w:val="20"/>
              </w:rPr>
              <w:t>1.0</w:t>
            </w:r>
          </w:p>
        </w:tc>
        <w:tc>
          <w:tcPr>
            <w:tcW w:type="dxa" w:w="1417"/>
          </w:tcPr>
          <w:p>
            <w:r>
              <w:rPr>
                <w:rFonts w:ascii="Aptos" w:hAnsi="Aptos"/>
                <w:sz w:val="20"/>
              </w:rPr>
              <w:t>0.2</w:t>
            </w:r>
          </w:p>
        </w:tc>
        <w:tc>
          <w:tcPr>
            <w:tcW w:type="dxa" w:w="1247"/>
          </w:tcPr>
          <w:p>
            <w:r>
              <w:rPr>
                <w:rFonts w:ascii="Aptos" w:hAnsi="Aptos"/>
                <w:sz w:val="20"/>
              </w:rPr>
              <w:t>+0.7</w:t>
            </w:r>
          </w:p>
        </w:tc>
        <w:tc>
          <w:tcPr>
            <w:tcW w:type="dxa" w:w="1247"/>
          </w:tcPr>
          <w:p>
            <w:r>
              <w:rPr>
                <w:rFonts w:ascii="Aptos" w:hAnsi="Aptos"/>
                <w:sz w:val="20"/>
              </w:rPr>
              <w:t>+0.13</w:t>
            </w:r>
          </w:p>
        </w:tc>
        <w:tc>
          <w:tcPr>
            <w:tcW w:type="dxa" w:w="1247"/>
          </w:tcPr>
          <w:p>
            <w:r>
              <w:rPr>
                <w:rFonts w:ascii="Aptos" w:hAnsi="Aptos"/>
                <w:sz w:val="20"/>
              </w:rPr>
              <w:t>+0.00</w:t>
            </w:r>
          </w:p>
        </w:tc>
        <w:tc>
          <w:tcPr>
            <w:tcW w:type="dxa" w:w="1247"/>
          </w:tcPr>
          <w:p>
            <w:r>
              <w:rPr>
                <w:rFonts w:ascii="Aptos" w:hAnsi="Aptos"/>
                <w:sz w:val="20"/>
              </w:rPr>
              <w:t>+0.13</w:t>
            </w:r>
          </w:p>
        </w:tc>
      </w:tr>
      <w:tr>
        <w:tc>
          <w:tcPr>
            <w:tcW w:type="dxa" w:w="2268"/>
          </w:tcPr>
          <w:p>
            <w:r>
              <w:rPr>
                <w:rFonts w:ascii="Aptos" w:hAnsi="Aptos"/>
                <w:sz w:val="20"/>
              </w:rPr>
              <w:t>Oracle Corporation</w:t>
            </w:r>
          </w:p>
        </w:tc>
        <w:tc>
          <w:tcPr>
            <w:tcW w:type="dxa" w:w="1247"/>
          </w:tcPr>
          <w:p>
            <w:r>
              <w:rPr>
                <w:rFonts w:ascii="Aptos" w:hAnsi="Aptos"/>
                <w:sz w:val="20"/>
              </w:rPr>
              <w:t>1.1</w:t>
            </w:r>
          </w:p>
        </w:tc>
        <w:tc>
          <w:tcPr>
            <w:tcW w:type="dxa" w:w="1417"/>
          </w:tcPr>
          <w:p>
            <w:r>
              <w:rPr>
                <w:rFonts w:ascii="Aptos" w:hAnsi="Aptos"/>
                <w:sz w:val="20"/>
              </w:rPr>
              <w:t>0.3</w:t>
            </w:r>
          </w:p>
        </w:tc>
        <w:tc>
          <w:tcPr>
            <w:tcW w:type="dxa" w:w="1247"/>
          </w:tcPr>
          <w:p>
            <w:r>
              <w:rPr>
                <w:rFonts w:ascii="Aptos" w:hAnsi="Aptos"/>
                <w:sz w:val="20"/>
              </w:rPr>
              <w:t>+0.8</w:t>
            </w:r>
          </w:p>
        </w:tc>
        <w:tc>
          <w:tcPr>
            <w:tcW w:type="dxa" w:w="1247"/>
          </w:tcPr>
          <w:p>
            <w:r>
              <w:rPr>
                <w:rFonts w:ascii="Aptos" w:hAnsi="Aptos"/>
                <w:sz w:val="20"/>
              </w:rPr>
              <w:t>+0.09</w:t>
            </w:r>
          </w:p>
        </w:tc>
        <w:tc>
          <w:tcPr>
            <w:tcW w:type="dxa" w:w="1247"/>
          </w:tcPr>
          <w:p>
            <w:r>
              <w:rPr>
                <w:rFonts w:ascii="Aptos" w:hAnsi="Aptos"/>
                <w:sz w:val="20"/>
              </w:rPr>
              <w:t>-0.00</w:t>
            </w:r>
          </w:p>
        </w:tc>
        <w:tc>
          <w:tcPr>
            <w:tcW w:type="dxa" w:w="1247"/>
          </w:tcPr>
          <w:p>
            <w:r>
              <w:rPr>
                <w:rFonts w:ascii="Aptos" w:hAnsi="Aptos"/>
                <w:sz w:val="20"/>
              </w:rPr>
              <w:t>+0.09</w:t>
            </w:r>
          </w:p>
        </w:tc>
      </w:tr>
      <w:tr>
        <w:tc>
          <w:tcPr>
            <w:tcW w:type="dxa" w:w="2268"/>
          </w:tcPr>
          <w:p>
            <w:r>
              <w:rPr>
                <w:rFonts w:ascii="Aptos" w:hAnsi="Aptos"/>
                <w:sz w:val="20"/>
              </w:rPr>
              <w:t>BlackRock, Inc.</w:t>
            </w:r>
          </w:p>
        </w:tc>
        <w:tc>
          <w:tcPr>
            <w:tcW w:type="dxa" w:w="1247"/>
          </w:tcPr>
          <w:p>
            <w:r>
              <w:rPr>
                <w:rFonts w:ascii="Aptos" w:hAnsi="Aptos"/>
                <w:sz w:val="20"/>
              </w:rPr>
              <w:t>2.2</w:t>
            </w:r>
          </w:p>
        </w:tc>
        <w:tc>
          <w:tcPr>
            <w:tcW w:type="dxa" w:w="1417"/>
          </w:tcPr>
          <w:p>
            <w:r>
              <w:rPr>
                <w:rFonts w:ascii="Aptos" w:hAnsi="Aptos"/>
                <w:sz w:val="20"/>
              </w:rPr>
              <w:t>0.2</w:t>
            </w:r>
          </w:p>
        </w:tc>
        <w:tc>
          <w:tcPr>
            <w:tcW w:type="dxa" w:w="1247"/>
          </w:tcPr>
          <w:p>
            <w:r>
              <w:rPr>
                <w:rFonts w:ascii="Aptos" w:hAnsi="Aptos"/>
                <w:sz w:val="20"/>
              </w:rPr>
              <w:t>+2.0</w:t>
            </w:r>
          </w:p>
        </w:tc>
        <w:tc>
          <w:tcPr>
            <w:tcW w:type="dxa" w:w="1247"/>
          </w:tcPr>
          <w:p>
            <w:r>
              <w:rPr>
                <w:rFonts w:ascii="Aptos" w:hAnsi="Aptos"/>
                <w:sz w:val="20"/>
              </w:rPr>
              <w:t>+0.06</w:t>
            </w:r>
          </w:p>
        </w:tc>
        <w:tc>
          <w:tcPr>
            <w:tcW w:type="dxa" w:w="1247"/>
          </w:tcPr>
          <w:p>
            <w:r>
              <w:rPr>
                <w:rFonts w:ascii="Aptos" w:hAnsi="Aptos"/>
                <w:sz w:val="20"/>
              </w:rPr>
              <w:t>+0.00</w:t>
            </w:r>
          </w:p>
        </w:tc>
        <w:tc>
          <w:tcPr>
            <w:tcW w:type="dxa" w:w="1247"/>
          </w:tcPr>
          <w:p>
            <w:r>
              <w:rPr>
                <w:rFonts w:ascii="Aptos" w:hAnsi="Aptos"/>
                <w:sz w:val="20"/>
              </w:rPr>
              <w:t>+0.06</w:t>
            </w:r>
          </w:p>
        </w:tc>
      </w:tr>
      <w:tr>
        <w:tc>
          <w:tcPr>
            <w:tcW w:type="dxa" w:w="2268"/>
          </w:tcPr>
          <w:p>
            <w:r>
              <w:rPr>
                <w:rFonts w:ascii="Aptos" w:hAnsi="Aptos"/>
                <w:sz w:val="20"/>
              </w:rPr>
              <w:t>Goldman Sachs Group, Inc.</w:t>
            </w:r>
          </w:p>
        </w:tc>
        <w:tc>
          <w:tcPr>
            <w:tcW w:type="dxa" w:w="1247"/>
          </w:tcPr>
          <w:p>
            <w:r>
              <w:rPr>
                <w:rFonts w:ascii="Aptos" w:hAnsi="Aptos"/>
                <w:sz w:val="20"/>
              </w:rPr>
              <w:t>3.4</w:t>
            </w:r>
          </w:p>
        </w:tc>
        <w:tc>
          <w:tcPr>
            <w:tcW w:type="dxa" w:w="1417"/>
          </w:tcPr>
          <w:p>
            <w:r>
              <w:rPr>
                <w:rFonts w:ascii="Aptos" w:hAnsi="Aptos"/>
                <w:sz w:val="20"/>
              </w:rPr>
              <w:t>0.3</w:t>
            </w:r>
          </w:p>
        </w:tc>
        <w:tc>
          <w:tcPr>
            <w:tcW w:type="dxa" w:w="1247"/>
          </w:tcPr>
          <w:p>
            <w:r>
              <w:rPr>
                <w:rFonts w:ascii="Aptos" w:hAnsi="Aptos"/>
                <w:sz w:val="20"/>
              </w:rPr>
              <w:t>+3.0</w:t>
            </w:r>
          </w:p>
        </w:tc>
        <w:tc>
          <w:tcPr>
            <w:tcW w:type="dxa" w:w="1247"/>
          </w:tcPr>
          <w:p>
            <w:r>
              <w:rPr>
                <w:rFonts w:ascii="Aptos" w:hAnsi="Aptos"/>
                <w:sz w:val="20"/>
              </w:rPr>
              <w:t>-0.06</w:t>
            </w:r>
          </w:p>
        </w:tc>
        <w:tc>
          <w:tcPr>
            <w:tcW w:type="dxa" w:w="1247"/>
          </w:tcPr>
          <w:p>
            <w:r>
              <w:rPr>
                <w:rFonts w:ascii="Aptos" w:hAnsi="Aptos"/>
                <w:sz w:val="20"/>
              </w:rPr>
              <w:t>-0.00</w:t>
            </w:r>
          </w:p>
        </w:tc>
        <w:tc>
          <w:tcPr>
            <w:tcW w:type="dxa" w:w="1247"/>
          </w:tcPr>
          <w:p>
            <w:r>
              <w:rPr>
                <w:rFonts w:ascii="Aptos" w:hAnsi="Aptos"/>
                <w:sz w:val="20"/>
              </w:rPr>
              <w:t>-0.06</w:t>
            </w:r>
          </w:p>
        </w:tc>
      </w:tr>
      <w:tr>
        <w:tc>
          <w:tcPr>
            <w:tcW w:type="dxa" w:w="2268"/>
          </w:tcPr>
          <w:p>
            <w:r>
              <w:rPr>
                <w:rFonts w:ascii="Aptos" w:hAnsi="Aptos"/>
                <w:sz w:val="20"/>
              </w:rPr>
              <w:t>Royal Bank of Canada</w:t>
            </w:r>
          </w:p>
        </w:tc>
        <w:tc>
          <w:tcPr>
            <w:tcW w:type="dxa" w:w="1247"/>
          </w:tcPr>
          <w:p>
            <w:r>
              <w:rPr>
                <w:rFonts w:ascii="Aptos" w:hAnsi="Aptos"/>
                <w:sz w:val="20"/>
              </w:rPr>
              <w:t>2.1</w:t>
            </w:r>
          </w:p>
        </w:tc>
        <w:tc>
          <w:tcPr>
            <w:tcW w:type="dxa" w:w="1417"/>
          </w:tcPr>
          <w:p>
            <w:r>
              <w:rPr>
                <w:rFonts w:ascii="Aptos" w:hAnsi="Aptos"/>
                <w:sz w:val="20"/>
              </w:rPr>
              <w:t>0.3</w:t>
            </w:r>
          </w:p>
        </w:tc>
        <w:tc>
          <w:tcPr>
            <w:tcW w:type="dxa" w:w="1247"/>
          </w:tcPr>
          <w:p>
            <w:r>
              <w:rPr>
                <w:rFonts w:ascii="Aptos" w:hAnsi="Aptos"/>
                <w:sz w:val="20"/>
              </w:rPr>
              <w:t>+1.8</w:t>
            </w:r>
          </w:p>
        </w:tc>
        <w:tc>
          <w:tcPr>
            <w:tcW w:type="dxa" w:w="1247"/>
          </w:tcPr>
          <w:p>
            <w:r>
              <w:rPr>
                <w:rFonts w:ascii="Aptos" w:hAnsi="Aptos"/>
                <w:sz w:val="20"/>
              </w:rPr>
              <w:t>-0.09</w:t>
            </w:r>
          </w:p>
        </w:tc>
        <w:tc>
          <w:tcPr>
            <w:tcW w:type="dxa" w:w="1247"/>
          </w:tcPr>
          <w:p>
            <w:r>
              <w:rPr>
                <w:rFonts w:ascii="Aptos" w:hAnsi="Aptos"/>
                <w:sz w:val="20"/>
              </w:rPr>
              <w:t>+0.00</w:t>
            </w:r>
          </w:p>
        </w:tc>
        <w:tc>
          <w:tcPr>
            <w:tcW w:type="dxa" w:w="1247"/>
          </w:tcPr>
          <w:p>
            <w:r>
              <w:rPr>
                <w:rFonts w:ascii="Aptos" w:hAnsi="Aptos"/>
                <w:sz w:val="20"/>
              </w:rPr>
              <w:t>-0.09</w:t>
            </w:r>
          </w:p>
        </w:tc>
      </w:tr>
      <w:tr>
        <w:tc>
          <w:tcPr>
            <w:tcW w:type="dxa" w:w="2268"/>
          </w:tcPr>
          <w:p>
            <w:r>
              <w:rPr>
                <w:rFonts w:ascii="Aptos" w:hAnsi="Aptos"/>
                <w:sz w:val="20"/>
              </w:rPr>
              <w:t>FAST RETAILING CO., LTD.</w:t>
            </w:r>
          </w:p>
        </w:tc>
        <w:tc>
          <w:tcPr>
            <w:tcW w:type="dxa" w:w="1247"/>
          </w:tcPr>
          <w:p>
            <w:r>
              <w:rPr>
                <w:rFonts w:ascii="Aptos" w:hAnsi="Aptos"/>
                <w:sz w:val="20"/>
              </w:rPr>
              <w:t>1.9</w:t>
            </w:r>
          </w:p>
        </w:tc>
        <w:tc>
          <w:tcPr>
            <w:tcW w:type="dxa" w:w="1417"/>
          </w:tcPr>
          <w:p>
            <w:r>
              <w:rPr>
                <w:rFonts w:ascii="Aptos" w:hAnsi="Aptos"/>
                <w:sz w:val="20"/>
              </w:rPr>
              <w:t>0.1</w:t>
            </w:r>
          </w:p>
        </w:tc>
        <w:tc>
          <w:tcPr>
            <w:tcW w:type="dxa" w:w="1247"/>
          </w:tcPr>
          <w:p>
            <w:r>
              <w:rPr>
                <w:rFonts w:ascii="Aptos" w:hAnsi="Aptos"/>
                <w:sz w:val="20"/>
              </w:rPr>
              <w:t>+1.8</w:t>
            </w:r>
          </w:p>
        </w:tc>
        <w:tc>
          <w:tcPr>
            <w:tcW w:type="dxa" w:w="1247"/>
          </w:tcPr>
          <w:p>
            <w:r>
              <w:rPr>
                <w:rFonts w:ascii="Aptos" w:hAnsi="Aptos"/>
                <w:sz w:val="20"/>
              </w:rPr>
              <w:t>-0.19</w:t>
            </w:r>
          </w:p>
        </w:tc>
        <w:tc>
          <w:tcPr>
            <w:tcW w:type="dxa" w:w="1247"/>
          </w:tcPr>
          <w:p>
            <w:r>
              <w:rPr>
                <w:rFonts w:ascii="Aptos" w:hAnsi="Aptos"/>
                <w:sz w:val="20"/>
              </w:rPr>
              <w:t>+0.00</w:t>
            </w:r>
          </w:p>
        </w:tc>
        <w:tc>
          <w:tcPr>
            <w:tcW w:type="dxa" w:w="1247"/>
          </w:tcPr>
          <w:p>
            <w:r>
              <w:rPr>
                <w:rFonts w:ascii="Aptos" w:hAnsi="Aptos"/>
                <w:sz w:val="20"/>
              </w:rPr>
              <w:t>-0.19</w:t>
            </w:r>
          </w:p>
        </w:tc>
      </w:tr>
      <w:tr>
        <w:tc>
          <w:tcPr>
            <w:tcW w:type="dxa" w:w="2268"/>
          </w:tcPr>
          <w:p>
            <w:r>
              <w:rPr>
                <w:rFonts w:ascii="Aptos" w:hAnsi="Aptos"/>
                <w:sz w:val="20"/>
              </w:rPr>
              <w:t>Howmet Aerospace Inc.</w:t>
            </w:r>
          </w:p>
        </w:tc>
        <w:tc>
          <w:tcPr>
            <w:tcW w:type="dxa" w:w="1247"/>
          </w:tcPr>
          <w:p>
            <w:r>
              <w:rPr>
                <w:rFonts w:ascii="Aptos" w:hAnsi="Aptos"/>
                <w:sz w:val="20"/>
              </w:rPr>
              <w:t>0.8</w:t>
            </w:r>
          </w:p>
        </w:tc>
        <w:tc>
          <w:tcPr>
            <w:tcW w:type="dxa" w:w="1417"/>
          </w:tcPr>
          <w:p>
            <w:r>
              <w:rPr>
                <w:rFonts w:ascii="Aptos" w:hAnsi="Aptos"/>
                <w:sz w:val="20"/>
              </w:rPr>
              <w:t>0.1</w:t>
            </w:r>
          </w:p>
        </w:tc>
        <w:tc>
          <w:tcPr>
            <w:tcW w:type="dxa" w:w="1247"/>
          </w:tcPr>
          <w:p>
            <w:r>
              <w:rPr>
                <w:rFonts w:ascii="Aptos" w:hAnsi="Aptos"/>
                <w:sz w:val="20"/>
              </w:rPr>
              <w:t>+0.7</w:t>
            </w:r>
          </w:p>
        </w:tc>
        <w:tc>
          <w:tcPr>
            <w:tcW w:type="dxa" w:w="1247"/>
          </w:tcPr>
          <w:p>
            <w:r>
              <w:rPr>
                <w:rFonts w:ascii="Aptos" w:hAnsi="Aptos"/>
                <w:sz w:val="20"/>
              </w:rPr>
              <w:t>-0.26</w:t>
            </w:r>
          </w:p>
        </w:tc>
        <w:tc>
          <w:tcPr>
            <w:tcW w:type="dxa" w:w="1247"/>
          </w:tcPr>
          <w:p>
            <w:r>
              <w:rPr>
                <w:rFonts w:ascii="Aptos" w:hAnsi="Aptos"/>
                <w:sz w:val="20"/>
              </w:rPr>
              <w:t>-0.00</w:t>
            </w:r>
          </w:p>
        </w:tc>
        <w:tc>
          <w:tcPr>
            <w:tcW w:type="dxa" w:w="1247"/>
          </w:tcPr>
          <w:p>
            <w:r>
              <w:rPr>
                <w:rFonts w:ascii="Aptos" w:hAnsi="Aptos"/>
                <w:sz w:val="20"/>
              </w:rPr>
              <w:t>-0.26</w:t>
            </w:r>
          </w:p>
        </w:tc>
      </w:tr>
      <w:tr>
        <w:tc>
          <w:tcPr>
            <w:tcW w:type="dxa" w:w="2268"/>
          </w:tcPr>
          <w:p>
            <w:r>
              <w:rPr>
                <w:rFonts w:ascii="Aptos" w:hAnsi="Aptos"/>
                <w:sz w:val="20"/>
              </w:rPr>
              <w:t>Fanuc Corporation</w:t>
            </w:r>
          </w:p>
        </w:tc>
        <w:tc>
          <w:tcPr>
            <w:tcW w:type="dxa" w:w="1247"/>
          </w:tcPr>
          <w:p>
            <w:r>
              <w:rPr>
                <w:rFonts w:ascii="Aptos" w:hAnsi="Aptos"/>
                <w:sz w:val="20"/>
              </w:rPr>
              <w:t>1.6</w:t>
            </w:r>
          </w:p>
        </w:tc>
        <w:tc>
          <w:tcPr>
            <w:tcW w:type="dxa" w:w="1417"/>
          </w:tcPr>
          <w:p>
            <w:r>
              <w:rPr>
                <w:rFonts w:ascii="Aptos" w:hAnsi="Aptos"/>
                <w:sz w:val="20"/>
              </w:rPr>
              <w:t>0.0</w:t>
            </w:r>
          </w:p>
        </w:tc>
        <w:tc>
          <w:tcPr>
            <w:tcW w:type="dxa" w:w="1247"/>
          </w:tcPr>
          <w:p>
            <w:r>
              <w:rPr>
                <w:rFonts w:ascii="Aptos" w:hAnsi="Aptos"/>
                <w:sz w:val="20"/>
              </w:rPr>
              <w:t>+1.6</w:t>
            </w:r>
          </w:p>
        </w:tc>
        <w:tc>
          <w:tcPr>
            <w:tcW w:type="dxa" w:w="1247"/>
          </w:tcPr>
          <w:p>
            <w:r>
              <w:rPr>
                <w:rFonts w:ascii="Aptos" w:hAnsi="Aptos"/>
                <w:sz w:val="20"/>
              </w:rPr>
              <w:t>-0.33</w:t>
            </w:r>
          </w:p>
        </w:tc>
        <w:tc>
          <w:tcPr>
            <w:tcW w:type="dxa" w:w="1247"/>
          </w:tcPr>
          <w:p>
            <w:r>
              <w:rPr>
                <w:rFonts w:ascii="Aptos" w:hAnsi="Aptos"/>
                <w:sz w:val="20"/>
              </w:rPr>
              <w:t>+0.00</w:t>
            </w:r>
          </w:p>
        </w:tc>
        <w:tc>
          <w:tcPr>
            <w:tcW w:type="dxa" w:w="1247"/>
          </w:tcPr>
          <w:p>
            <w:r>
              <w:rPr>
                <w:rFonts w:ascii="Aptos" w:hAnsi="Aptos"/>
                <w:sz w:val="20"/>
              </w:rPr>
              <w:t>-0.33</w:t>
            </w:r>
          </w:p>
        </w:tc>
      </w:tr>
      <w:tr>
        <w:tc>
          <w:tcPr>
            <w:tcW w:type="dxa" w:w="2268"/>
          </w:tcPr>
          <w:p>
            <w:r>
              <w:rPr>
                <w:rFonts w:ascii="Aptos" w:hAnsi="Aptos"/>
                <w:sz w:val="20"/>
              </w:rPr>
              <w:t>Cummins Inc.</w:t>
            </w:r>
          </w:p>
        </w:tc>
        <w:tc>
          <w:tcPr>
            <w:tcW w:type="dxa" w:w="1247"/>
          </w:tcPr>
          <w:p>
            <w:r>
              <w:rPr>
                <w:rFonts w:ascii="Aptos" w:hAnsi="Aptos"/>
                <w:sz w:val="20"/>
              </w:rPr>
              <w:t>3.0</w:t>
            </w:r>
          </w:p>
        </w:tc>
        <w:tc>
          <w:tcPr>
            <w:tcW w:type="dxa" w:w="1417"/>
          </w:tcPr>
          <w:p>
            <w:r>
              <w:rPr>
                <w:rFonts w:ascii="Aptos" w:hAnsi="Aptos"/>
                <w:sz w:val="20"/>
              </w:rPr>
              <w:t>0.1</w:t>
            </w:r>
          </w:p>
        </w:tc>
        <w:tc>
          <w:tcPr>
            <w:tcW w:type="dxa" w:w="1247"/>
          </w:tcPr>
          <w:p>
            <w:r>
              <w:rPr>
                <w:rFonts w:ascii="Aptos" w:hAnsi="Aptos"/>
                <w:sz w:val="20"/>
              </w:rPr>
              <w:t>+2.9</w:t>
            </w:r>
          </w:p>
        </w:tc>
        <w:tc>
          <w:tcPr>
            <w:tcW w:type="dxa" w:w="1247"/>
          </w:tcPr>
          <w:p>
            <w:r>
              <w:rPr>
                <w:rFonts w:ascii="Aptos" w:hAnsi="Aptos"/>
                <w:sz w:val="20"/>
              </w:rPr>
              <w:t>-0.41</w:t>
            </w:r>
          </w:p>
        </w:tc>
        <w:tc>
          <w:tcPr>
            <w:tcW w:type="dxa" w:w="1247"/>
          </w:tcPr>
          <w:p>
            <w:r>
              <w:rPr>
                <w:rFonts w:ascii="Aptos" w:hAnsi="Aptos"/>
                <w:sz w:val="20"/>
              </w:rPr>
              <w:t>+0.00</w:t>
            </w:r>
          </w:p>
        </w:tc>
        <w:tc>
          <w:tcPr>
            <w:tcW w:type="dxa" w:w="1247"/>
          </w:tcPr>
          <w:p>
            <w:r>
              <w:rPr>
                <w:rFonts w:ascii="Aptos" w:hAnsi="Aptos"/>
                <w:sz w:val="20"/>
              </w:rPr>
              <w:t>-0.41</w:t>
            </w:r>
          </w:p>
        </w:tc>
      </w:tr>
      <w:tr>
        <w:tc>
          <w:tcPr>
            <w:tcW w:type="dxa" w:w="2268"/>
          </w:tcPr>
          <w:p>
            <w:r>
              <w:rPr>
                <w:rFonts w:ascii="Aptos" w:hAnsi="Aptos"/>
                <w:sz w:val="20"/>
              </w:rPr>
              <w:t>Applied Materials, Inc.</w:t>
            </w:r>
          </w:p>
        </w:tc>
        <w:tc>
          <w:tcPr>
            <w:tcW w:type="dxa" w:w="1247"/>
          </w:tcPr>
          <w:p>
            <w:r>
              <w:rPr>
                <w:rFonts w:ascii="Aptos" w:hAnsi="Aptos"/>
                <w:sz w:val="20"/>
              </w:rPr>
              <w:t>4.0</w:t>
            </w:r>
          </w:p>
        </w:tc>
        <w:tc>
          <w:tcPr>
            <w:tcW w:type="dxa" w:w="1417"/>
          </w:tcPr>
          <w:p>
            <w:r>
              <w:rPr>
                <w:rFonts w:ascii="Aptos" w:hAnsi="Aptos"/>
                <w:sz w:val="20"/>
              </w:rPr>
              <w:t>0.4</w:t>
            </w:r>
          </w:p>
        </w:tc>
        <w:tc>
          <w:tcPr>
            <w:tcW w:type="dxa" w:w="1247"/>
          </w:tcPr>
          <w:p>
            <w:r>
              <w:rPr>
                <w:rFonts w:ascii="Aptos" w:hAnsi="Aptos"/>
                <w:sz w:val="20"/>
              </w:rPr>
              <w:t>+3.5</w:t>
            </w:r>
          </w:p>
        </w:tc>
        <w:tc>
          <w:tcPr>
            <w:tcW w:type="dxa" w:w="1247"/>
          </w:tcPr>
          <w:p>
            <w:r>
              <w:rPr>
                <w:rFonts w:ascii="Aptos" w:hAnsi="Aptos"/>
                <w:sz w:val="20"/>
              </w:rPr>
              <w:t>-0.43</w:t>
            </w:r>
          </w:p>
        </w:tc>
        <w:tc>
          <w:tcPr>
            <w:tcW w:type="dxa" w:w="1247"/>
          </w:tcPr>
          <w:p>
            <w:r>
              <w:rPr>
                <w:rFonts w:ascii="Aptos" w:hAnsi="Aptos"/>
                <w:sz w:val="20"/>
              </w:rPr>
              <w:t>+0.00</w:t>
            </w:r>
          </w:p>
        </w:tc>
        <w:tc>
          <w:tcPr>
            <w:tcW w:type="dxa" w:w="1247"/>
          </w:tcPr>
          <w:p>
            <w:r>
              <w:rPr>
                <w:rFonts w:ascii="Aptos" w:hAnsi="Aptos"/>
                <w:sz w:val="20"/>
              </w:rPr>
              <w:t>-0.43</w:t>
            </w:r>
          </w:p>
        </w:tc>
      </w:tr>
    </w:tbl>
    <w:p/>
    <w:p>
      <w:pPr>
        <w:pStyle w:val="Heading2"/>
      </w:pPr>
      <w:r>
        <w:rPr>
          <w:rFonts w:ascii="Aptos" w:hAnsi="Aptos"/>
          <w:color w:val="1A2E3B"/>
        </w:rPr>
        <w:t>AI use and human review</w:t>
      </w:r>
    </w:p>
    <w:p>
      <w:r>
        <w:rPr>
          <w:rFonts w:ascii="Aptos" w:hAnsi="Aptos"/>
          <w:color w:val="555555"/>
          <w:sz w:val="17"/>
        </w:rPr>
        <w:t>This report was assembled by an automated reporting system and is a draft until a person approves it. Nothing produced here reaches a reader on the system's own say-so.</w:t>
      </w:r>
    </w:p>
    <w:p>
      <w:r>
        <w:rPr>
          <w:rFonts w:ascii="Aptos" w:hAnsi="Aptos"/>
          <w:color w:val="555555"/>
          <w:sz w:val="17"/>
        </w:rPr>
        <w:t>The passages marked AI-drafted were written by a language model from sources recorded against this report, which the reviewer reads beside the text before approving it. The model is never asked what the fund returned — every figure in the tables came from the manager's own data — and a model-written passage citing no source is blocked from approval rather than published with a caveat.</w:t>
      </w:r>
    </w:p>
    <w:p>
      <w:r>
        <w:rPr>
          <w:rFonts w:ascii="Aptos" w:hAnsi="Aptos"/>
          <w:color w:val="555555"/>
          <w:sz w:val="17"/>
        </w:rPr>
        <w:t>Before this report is issued, a reviewer reads the draft, signs off one by one on any source found outside the approved list, and records the approval against their own name. What was changed, by whom, and when is kept with the report.</w:t>
      </w:r>
    </w:p>
    <w:p>
      <w:r>
        <w:rPr>
          <w:i/>
          <w:color w:val="808080"/>
          <w:sz w:val="17"/>
        </w:rPr>
        <w:t>Draft generated 2026-09-02 — For internal review only, not for distribution.</w:t>
      </w:r>
    </w:p>
    <w:sectPr w:rsidR="00FC693F" w:rsidRPr="0006063C" w:rsidSect="00034616">
      <w:pgSz w:w="12240" w:h="15840"/>
      <w:pgMar w:top="1440" w:right="1247" w:bottom="144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